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405D3" w14:textId="452FA09A" w:rsidR="008618C9" w:rsidRPr="00395BD6" w:rsidRDefault="008618C9" w:rsidP="008618C9">
      <w:pPr>
        <w:tabs>
          <w:tab w:val="center" w:pos="4536"/>
          <w:tab w:val="right" w:pos="9072"/>
        </w:tabs>
        <w:rPr>
          <w:rFonts w:ascii="Arial" w:eastAsia="MS Mincho" w:hAnsi="Arial" w:cs="Arial"/>
          <w:b/>
          <w:bCs/>
          <w:szCs w:val="22"/>
          <w:lang w:eastAsia="ja-JP"/>
        </w:rPr>
      </w:pPr>
      <w:r>
        <w:rPr>
          <w:rFonts w:ascii="Arial" w:hAnsi="Arial" w:cs="Arial"/>
          <w:b/>
          <w:lang w:val="de-DE"/>
        </w:rPr>
        <w:t xml:space="preserve">3GPP TSG RAN WG1 #101 </w:t>
      </w:r>
      <w:r w:rsidRPr="002C213F">
        <w:rPr>
          <w:rFonts w:ascii="Arial" w:hAnsi="Arial" w:cs="Arial"/>
          <w:b/>
          <w:lang w:val="de-DE"/>
        </w:rPr>
        <w:tab/>
      </w:r>
      <w:r w:rsidRPr="002C213F">
        <w:rPr>
          <w:rFonts w:ascii="Arial" w:hAnsi="Arial" w:cs="Arial"/>
          <w:b/>
          <w:lang w:val="de-DE"/>
        </w:rPr>
        <w:tab/>
      </w:r>
      <w:r w:rsidRPr="00E67DC5">
        <w:rPr>
          <w:rFonts w:ascii="Arial" w:hAnsi="Arial" w:cs="Arial"/>
          <w:b/>
          <w:bCs/>
        </w:rPr>
        <w:t>R1-</w:t>
      </w:r>
      <w:r w:rsidRPr="00704D2B">
        <w:rPr>
          <w:rFonts w:ascii="Arial" w:hAnsi="Arial" w:cs="Arial"/>
          <w:b/>
          <w:bCs/>
        </w:rPr>
        <w:t>200</w:t>
      </w:r>
      <w:r w:rsidR="00704D2B" w:rsidRPr="00704D2B">
        <w:rPr>
          <w:rFonts w:ascii="Arial" w:hAnsi="Arial" w:cs="Arial"/>
          <w:b/>
          <w:bCs/>
        </w:rPr>
        <w:t>4249</w:t>
      </w:r>
      <w:r>
        <w:rPr>
          <w:rFonts w:ascii="Arial" w:hAnsi="Arial" w:cs="Arial"/>
          <w:b/>
          <w:lang w:val="de-DE"/>
        </w:rPr>
        <w:br/>
      </w:r>
      <w:r w:rsidRPr="00395BD6">
        <w:rPr>
          <w:rFonts w:ascii="Arial" w:eastAsia="MS Mincho" w:hAnsi="Arial" w:cs="Arial"/>
          <w:b/>
          <w:bCs/>
          <w:szCs w:val="22"/>
          <w:lang w:eastAsia="ja-JP"/>
        </w:rPr>
        <w:t>e-Meeting, May 25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xml:space="preserve"> – June 5</w:t>
      </w:r>
      <w:r w:rsidRPr="00395BD6">
        <w:rPr>
          <w:rFonts w:ascii="Arial" w:eastAsia="MS Mincho" w:hAnsi="Arial" w:cs="Arial"/>
          <w:b/>
          <w:bCs/>
          <w:szCs w:val="22"/>
          <w:vertAlign w:val="superscript"/>
          <w:lang w:eastAsia="ja-JP"/>
        </w:rPr>
        <w:t>th</w:t>
      </w:r>
      <w:r w:rsidRPr="00395BD6">
        <w:rPr>
          <w:rFonts w:ascii="Arial" w:eastAsia="MS Mincho" w:hAnsi="Arial" w:cs="Arial"/>
          <w:b/>
          <w:bCs/>
          <w:szCs w:val="22"/>
          <w:lang w:eastAsia="ja-JP"/>
        </w:rPr>
        <w:t>, 2020</w:t>
      </w:r>
    </w:p>
    <w:p w14:paraId="16A358E8" w14:textId="77777777" w:rsidR="008C2DC1" w:rsidRPr="001678ED" w:rsidRDefault="008C2DC1" w:rsidP="008C2DC1">
      <w:pPr>
        <w:tabs>
          <w:tab w:val="left" w:pos="1985"/>
        </w:tabs>
        <w:jc w:val="both"/>
        <w:rPr>
          <w:rFonts w:ascii="Arial" w:hAnsi="Arial" w:cs="Arial"/>
          <w:highlight w:val="yellow"/>
        </w:rPr>
      </w:pPr>
    </w:p>
    <w:p w14:paraId="74071BAA" w14:textId="6CF024F4" w:rsidR="0025389B" w:rsidRPr="00152053" w:rsidRDefault="0025389B" w:rsidP="0025389B">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618C9">
        <w:rPr>
          <w:rFonts w:ascii="Arial" w:hAnsi="Arial" w:cs="Arial"/>
          <w:b/>
          <w:lang w:val="en-US"/>
        </w:rPr>
        <w:t>4</w:t>
      </w:r>
      <w:r>
        <w:rPr>
          <w:rFonts w:ascii="Arial" w:hAnsi="Arial" w:cs="Arial"/>
          <w:b/>
        </w:rPr>
        <w:t>.</w:t>
      </w:r>
      <w:r w:rsidR="008618C9">
        <w:rPr>
          <w:rFonts w:ascii="Arial" w:hAnsi="Arial" w:cs="Arial"/>
          <w:b/>
          <w:lang w:val="en-US"/>
        </w:rPr>
        <w:t>1</w:t>
      </w:r>
      <w:r>
        <w:rPr>
          <w:rFonts w:ascii="Arial" w:hAnsi="Arial" w:cs="Arial"/>
          <w:b/>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649175A4" w:rsidR="0025389B" w:rsidRPr="004B71C4" w:rsidRDefault="0025389B" w:rsidP="0025389B">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B20702">
        <w:rPr>
          <w:rFonts w:ascii="Arial" w:hAnsi="Arial" w:cs="Arial"/>
          <w:b/>
          <w:lang w:val="en-US"/>
        </w:rPr>
        <w:t xml:space="preserve">On </w:t>
      </w:r>
      <w:r w:rsidR="008618C9">
        <w:rPr>
          <w:rFonts w:ascii="Arial" w:hAnsi="Arial" w:cs="Arial"/>
          <w:b/>
          <w:lang w:val="en-US"/>
        </w:rPr>
        <w:t>baseline coverage performance for FR1</w:t>
      </w:r>
    </w:p>
    <w:p w14:paraId="258C8BD2" w14:textId="77777777"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Pr>
          <w:rFonts w:ascii="Arial" w:hAnsi="Arial" w:cs="Arial"/>
          <w:b/>
        </w:rPr>
        <w:t>Decision</w:t>
      </w:r>
    </w:p>
    <w:p w14:paraId="546CFCCA" w14:textId="77777777" w:rsidR="0025389B" w:rsidRPr="00487A13" w:rsidRDefault="0025389B" w:rsidP="0025389B">
      <w:pPr>
        <w:pStyle w:val="Heading1"/>
      </w:pPr>
      <w:r>
        <w:t>Introduction</w:t>
      </w:r>
    </w:p>
    <w:p w14:paraId="742AC18C" w14:textId="1F49F011"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RAN#86 meeting, new study item on NR coverage enhancement</w:t>
      </w:r>
      <w:r w:rsidR="00C66594">
        <w:rPr>
          <w:color w:val="000000" w:themeColor="text1"/>
          <w:sz w:val="20"/>
          <w:szCs w:val="20"/>
          <w:lang w:val="en-US"/>
        </w:rPr>
        <w:t xml:space="preserve"> [1]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13B9DF45" w14:textId="77777777" w:rsidR="00C66594" w:rsidRPr="00C66594" w:rsidRDefault="00C66594" w:rsidP="00C66594">
      <w:pPr>
        <w:numPr>
          <w:ilvl w:val="0"/>
          <w:numId w:val="33"/>
        </w:numPr>
        <w:spacing w:before="120" w:after="120" w:line="276" w:lineRule="auto"/>
        <w:ind w:hanging="357"/>
        <w:jc w:val="both"/>
        <w:rPr>
          <w:sz w:val="20"/>
          <w:szCs w:val="20"/>
          <w:lang w:val="en-US"/>
        </w:rPr>
      </w:pPr>
      <w:r w:rsidRPr="00C66594">
        <w:rPr>
          <w:sz w:val="20"/>
          <w:szCs w:val="20"/>
          <w:lang w:val="en-US"/>
        </w:rPr>
        <w:t>The target scenarios and services include</w:t>
      </w:r>
    </w:p>
    <w:p w14:paraId="5CB72358" w14:textId="77777777" w:rsidR="00C66594" w:rsidRPr="00C66594" w:rsidRDefault="00C66594" w:rsidP="00C66594">
      <w:pPr>
        <w:numPr>
          <w:ilvl w:val="1"/>
          <w:numId w:val="33"/>
        </w:numPr>
        <w:spacing w:before="120" w:after="120" w:line="276" w:lineRule="auto"/>
        <w:ind w:hanging="357"/>
        <w:jc w:val="both"/>
        <w:rPr>
          <w:sz w:val="20"/>
          <w:szCs w:val="20"/>
        </w:rPr>
      </w:pPr>
      <w:r w:rsidRPr="00C66594">
        <w:rPr>
          <w:sz w:val="20"/>
          <w:szCs w:val="20"/>
        </w:rPr>
        <w:t>Urban (</w:t>
      </w:r>
      <w:r w:rsidRPr="00C66594">
        <w:rPr>
          <w:rFonts w:hint="eastAsia"/>
          <w:sz w:val="20"/>
          <w:szCs w:val="20"/>
        </w:rPr>
        <w:t>out</w:t>
      </w:r>
      <w:r w:rsidRPr="00C66594">
        <w:rPr>
          <w:sz w:val="20"/>
          <w:szCs w:val="20"/>
        </w:rPr>
        <w:t xml:space="preserve">door </w:t>
      </w:r>
      <w:r w:rsidRPr="00C66594">
        <w:rPr>
          <w:rFonts w:eastAsia="Malgun Gothic"/>
          <w:sz w:val="20"/>
          <w:szCs w:val="20"/>
          <w:lang w:eastAsia="ko-KR"/>
        </w:rPr>
        <w:t>gNB serving</w:t>
      </w:r>
      <w:r w:rsidRPr="00C66594">
        <w:rPr>
          <w:sz w:val="20"/>
          <w:szCs w:val="20"/>
        </w:rPr>
        <w:t xml:space="preserve"> indoor</w:t>
      </w:r>
      <w:r w:rsidRPr="00C66594">
        <w:rPr>
          <w:rFonts w:hint="eastAsia"/>
          <w:sz w:val="20"/>
          <w:szCs w:val="20"/>
        </w:rPr>
        <w:t xml:space="preserve"> UEs</w:t>
      </w:r>
      <w:r w:rsidRPr="00C66594">
        <w:rPr>
          <w:sz w:val="20"/>
          <w:szCs w:val="20"/>
        </w:rPr>
        <w:t>) scenario, and rural scenario (including extreme long distance</w:t>
      </w:r>
      <w:r w:rsidRPr="00C66594">
        <w:rPr>
          <w:rFonts w:hint="eastAsia"/>
          <w:sz w:val="20"/>
          <w:szCs w:val="20"/>
        </w:rPr>
        <w:t xml:space="preserve"> rural</w:t>
      </w:r>
      <w:r w:rsidRPr="00C66594">
        <w:rPr>
          <w:sz w:val="20"/>
          <w:szCs w:val="20"/>
        </w:rPr>
        <w:t xml:space="preserve"> scenario) for FR1</w:t>
      </w:r>
    </w:p>
    <w:p w14:paraId="78D3D988" w14:textId="77777777" w:rsidR="00C66594" w:rsidRPr="00C66594" w:rsidRDefault="00C66594" w:rsidP="00C66594">
      <w:pPr>
        <w:numPr>
          <w:ilvl w:val="1"/>
          <w:numId w:val="33"/>
        </w:numPr>
        <w:spacing w:before="120" w:after="120" w:line="276" w:lineRule="auto"/>
        <w:ind w:hanging="357"/>
        <w:jc w:val="both"/>
        <w:rPr>
          <w:sz w:val="20"/>
          <w:szCs w:val="20"/>
        </w:rPr>
      </w:pPr>
      <w:r w:rsidRPr="00C66594">
        <w:rPr>
          <w:sz w:val="20"/>
          <w:szCs w:val="20"/>
        </w:rPr>
        <w:t xml:space="preserve">Indoor scenario (indoor </w:t>
      </w:r>
      <w:r w:rsidRPr="00C66594">
        <w:rPr>
          <w:rFonts w:eastAsia="Malgun Gothic"/>
          <w:sz w:val="20"/>
          <w:szCs w:val="20"/>
          <w:lang w:eastAsia="ko-KR"/>
        </w:rPr>
        <w:t>gNB serving</w:t>
      </w:r>
      <w:r w:rsidRPr="00C66594">
        <w:rPr>
          <w:sz w:val="20"/>
          <w:szCs w:val="20"/>
        </w:rPr>
        <w:t xml:space="preserve"> indoor</w:t>
      </w:r>
      <w:r w:rsidRPr="00C66594">
        <w:rPr>
          <w:rFonts w:hint="eastAsia"/>
          <w:sz w:val="20"/>
          <w:szCs w:val="20"/>
        </w:rPr>
        <w:t xml:space="preserve"> UEs</w:t>
      </w:r>
      <w:r w:rsidRPr="00C66594">
        <w:rPr>
          <w:sz w:val="20"/>
          <w:szCs w:val="20"/>
        </w:rPr>
        <w:t>), and u</w:t>
      </w:r>
      <w:r w:rsidRPr="00C66594">
        <w:rPr>
          <w:rFonts w:hint="eastAsia"/>
          <w:sz w:val="20"/>
          <w:szCs w:val="20"/>
        </w:rPr>
        <w:t>rban</w:t>
      </w:r>
      <w:r w:rsidRPr="00C66594">
        <w:rPr>
          <w:sz w:val="20"/>
          <w:szCs w:val="20"/>
        </w:rPr>
        <w:t xml:space="preserve">/suburban scenario (including outdoor </w:t>
      </w:r>
      <w:r w:rsidRPr="00C66594">
        <w:rPr>
          <w:rFonts w:eastAsia="Malgun Gothic"/>
          <w:sz w:val="20"/>
          <w:szCs w:val="20"/>
          <w:lang w:eastAsia="ko-KR"/>
        </w:rPr>
        <w:t>gNB serving</w:t>
      </w:r>
      <w:r w:rsidRPr="00C66594">
        <w:rPr>
          <w:sz w:val="20"/>
          <w:szCs w:val="20"/>
        </w:rPr>
        <w:t xml:space="preserve"> outdoor</w:t>
      </w:r>
      <w:r w:rsidRPr="00C66594">
        <w:rPr>
          <w:rFonts w:hint="eastAsia"/>
          <w:sz w:val="20"/>
          <w:szCs w:val="20"/>
        </w:rPr>
        <w:t xml:space="preserve"> UEs</w:t>
      </w:r>
      <w:r w:rsidRPr="00C66594">
        <w:rPr>
          <w:sz w:val="20"/>
          <w:szCs w:val="20"/>
        </w:rPr>
        <w:t xml:space="preserve"> and outdoor </w:t>
      </w:r>
      <w:r w:rsidRPr="00C66594">
        <w:rPr>
          <w:rFonts w:eastAsia="Malgun Gothic"/>
          <w:sz w:val="20"/>
          <w:szCs w:val="20"/>
          <w:lang w:eastAsia="ko-KR"/>
        </w:rPr>
        <w:t>gNB serving</w:t>
      </w:r>
      <w:r w:rsidRPr="00C66594">
        <w:rPr>
          <w:sz w:val="20"/>
          <w:szCs w:val="20"/>
        </w:rPr>
        <w:t xml:space="preserve"> indoor</w:t>
      </w:r>
      <w:r w:rsidRPr="00C66594">
        <w:rPr>
          <w:rFonts w:hint="eastAsia"/>
          <w:sz w:val="20"/>
          <w:szCs w:val="20"/>
        </w:rPr>
        <w:t xml:space="preserve"> UEs</w:t>
      </w:r>
      <w:r w:rsidRPr="00C66594">
        <w:rPr>
          <w:sz w:val="20"/>
          <w:szCs w:val="20"/>
        </w:rPr>
        <w:t>) for FR2.</w:t>
      </w:r>
    </w:p>
    <w:p w14:paraId="724D2C31" w14:textId="77777777" w:rsidR="00C66594" w:rsidRPr="00C66594" w:rsidRDefault="00C66594" w:rsidP="00C66594">
      <w:pPr>
        <w:numPr>
          <w:ilvl w:val="1"/>
          <w:numId w:val="33"/>
        </w:numPr>
        <w:spacing w:before="120" w:after="120" w:line="276" w:lineRule="auto"/>
        <w:ind w:hanging="357"/>
        <w:jc w:val="both"/>
        <w:rPr>
          <w:sz w:val="20"/>
          <w:szCs w:val="20"/>
        </w:rPr>
      </w:pPr>
      <w:r w:rsidRPr="00C66594">
        <w:rPr>
          <w:sz w:val="20"/>
          <w:szCs w:val="20"/>
        </w:rPr>
        <w:t>TDD and FDD for FR1.</w:t>
      </w:r>
    </w:p>
    <w:p w14:paraId="15A54253" w14:textId="77777777" w:rsidR="00C66594" w:rsidRPr="00C66594" w:rsidRDefault="00C66594" w:rsidP="00C66594">
      <w:pPr>
        <w:numPr>
          <w:ilvl w:val="1"/>
          <w:numId w:val="33"/>
        </w:numPr>
        <w:spacing w:before="120" w:after="120" w:line="276" w:lineRule="auto"/>
        <w:ind w:hanging="357"/>
        <w:jc w:val="both"/>
        <w:rPr>
          <w:sz w:val="20"/>
          <w:szCs w:val="20"/>
        </w:rPr>
      </w:pPr>
      <w:r w:rsidRPr="00C66594">
        <w:rPr>
          <w:sz w:val="20"/>
          <w:szCs w:val="20"/>
        </w:rPr>
        <w:t>VoIP and eMBB service for FR1.</w:t>
      </w:r>
    </w:p>
    <w:p w14:paraId="7FEE1AA1" w14:textId="77777777" w:rsidR="00C66594" w:rsidRPr="00C66594" w:rsidRDefault="00C66594" w:rsidP="00C66594">
      <w:pPr>
        <w:numPr>
          <w:ilvl w:val="1"/>
          <w:numId w:val="33"/>
        </w:numPr>
        <w:spacing w:before="120" w:after="120" w:line="276" w:lineRule="auto"/>
        <w:ind w:hanging="357"/>
        <w:jc w:val="both"/>
        <w:rPr>
          <w:sz w:val="20"/>
          <w:szCs w:val="20"/>
        </w:rPr>
      </w:pPr>
      <w:r w:rsidRPr="00C66594">
        <w:rPr>
          <w:sz w:val="20"/>
          <w:szCs w:val="20"/>
        </w:rPr>
        <w:t>eMBB service as first priority and VoIP as second priority for FR2.</w:t>
      </w:r>
    </w:p>
    <w:p w14:paraId="6C808055" w14:textId="77777777" w:rsidR="00C66594" w:rsidRPr="00C66594" w:rsidRDefault="00C66594" w:rsidP="00C66594">
      <w:pPr>
        <w:numPr>
          <w:ilvl w:val="1"/>
          <w:numId w:val="33"/>
        </w:numPr>
        <w:spacing w:before="120" w:after="120" w:line="276" w:lineRule="auto"/>
        <w:ind w:hanging="357"/>
        <w:jc w:val="both"/>
        <w:rPr>
          <w:sz w:val="20"/>
          <w:szCs w:val="20"/>
        </w:rPr>
      </w:pPr>
      <w:r w:rsidRPr="00C66594">
        <w:rPr>
          <w:sz w:val="20"/>
          <w:szCs w:val="20"/>
        </w:rPr>
        <w:t>LPWA services and scenarios are not included.</w:t>
      </w:r>
    </w:p>
    <w:p w14:paraId="18C821CF" w14:textId="77777777" w:rsidR="00C66594" w:rsidRPr="00C66594" w:rsidRDefault="00C66594" w:rsidP="00C66594">
      <w:pPr>
        <w:numPr>
          <w:ilvl w:val="0"/>
          <w:numId w:val="33"/>
        </w:numPr>
        <w:spacing w:before="120" w:after="120" w:line="276" w:lineRule="auto"/>
        <w:ind w:hanging="357"/>
        <w:jc w:val="both"/>
        <w:rPr>
          <w:sz w:val="20"/>
          <w:szCs w:val="20"/>
          <w:lang w:val="en-US"/>
        </w:rPr>
      </w:pPr>
      <w:r w:rsidRPr="00C66594">
        <w:rPr>
          <w:sz w:val="20"/>
          <w:szCs w:val="20"/>
          <w:lang w:val="en-US"/>
        </w:rPr>
        <w:t>Identify baseline coverage performance for both DL and UL for the above scenarios and services based on link-level simulation</w:t>
      </w:r>
    </w:p>
    <w:p w14:paraId="50C5CF73" w14:textId="77777777" w:rsidR="00C66594" w:rsidRPr="00C66594" w:rsidRDefault="00C66594" w:rsidP="00C66594">
      <w:pPr>
        <w:numPr>
          <w:ilvl w:val="1"/>
          <w:numId w:val="33"/>
        </w:numPr>
        <w:spacing w:before="120" w:after="120" w:line="276" w:lineRule="auto"/>
        <w:jc w:val="both"/>
        <w:rPr>
          <w:sz w:val="20"/>
          <w:szCs w:val="20"/>
          <w:lang w:val="en-US"/>
        </w:rPr>
      </w:pPr>
      <w:r w:rsidRPr="00C66594">
        <w:rPr>
          <w:sz w:val="20"/>
          <w:szCs w:val="20"/>
          <w:lang w:val="en-US"/>
        </w:rPr>
        <w:t>UL channels (</w:t>
      </w:r>
      <w:r w:rsidRPr="00C66594">
        <w:rPr>
          <w:rFonts w:eastAsia="Malgun Gothic"/>
          <w:sz w:val="20"/>
          <w:szCs w:val="20"/>
          <w:lang w:eastAsia="ko-KR"/>
        </w:rPr>
        <w:t>including PUSCH and PUCCH</w:t>
      </w:r>
      <w:r w:rsidRPr="00C66594">
        <w:rPr>
          <w:sz w:val="20"/>
          <w:szCs w:val="20"/>
          <w:lang w:val="en-US"/>
        </w:rPr>
        <w:t>) are prioritized for FR1.</w:t>
      </w:r>
    </w:p>
    <w:p w14:paraId="4FB45308" w14:textId="77777777" w:rsidR="00C66594" w:rsidRPr="00C66594" w:rsidRDefault="00C66594" w:rsidP="00C66594">
      <w:pPr>
        <w:numPr>
          <w:ilvl w:val="1"/>
          <w:numId w:val="33"/>
        </w:numPr>
        <w:spacing w:before="120" w:after="120" w:line="276" w:lineRule="auto"/>
        <w:jc w:val="both"/>
        <w:rPr>
          <w:sz w:val="20"/>
          <w:szCs w:val="20"/>
          <w:lang w:val="en-US"/>
        </w:rPr>
      </w:pPr>
      <w:r w:rsidRPr="00C66594">
        <w:rPr>
          <w:sz w:val="20"/>
          <w:szCs w:val="20"/>
          <w:lang w:val="en-US"/>
        </w:rPr>
        <w:t>Both DL and UL channels for FR2.</w:t>
      </w:r>
    </w:p>
    <w:p w14:paraId="275014D7" w14:textId="65C8D525" w:rsidR="0025389B" w:rsidRPr="002655D9" w:rsidRDefault="0025389B" w:rsidP="00D00969">
      <w:pPr>
        <w:rPr>
          <w:rFonts w:eastAsia="MS Mincho"/>
          <w:sz w:val="20"/>
          <w:szCs w:val="20"/>
          <w:lang w:val="en-US"/>
        </w:rPr>
      </w:pPr>
      <w:r w:rsidRPr="00FB6A81">
        <w:rPr>
          <w:rFonts w:eastAsia="MS Mincho"/>
          <w:sz w:val="20"/>
          <w:szCs w:val="20"/>
          <w:lang w:eastAsia="ja-JP"/>
        </w:rPr>
        <w:t xml:space="preserve">In this contribution, we </w:t>
      </w:r>
      <w:r>
        <w:rPr>
          <w:rFonts w:eastAsia="MS Mincho"/>
          <w:sz w:val="20"/>
          <w:szCs w:val="20"/>
          <w:lang w:eastAsia="ja-JP"/>
        </w:rPr>
        <w:t>discuss the NR</w:t>
      </w:r>
      <w:r w:rsidR="00C66594">
        <w:rPr>
          <w:rFonts w:eastAsia="MS Mincho"/>
          <w:sz w:val="20"/>
          <w:szCs w:val="20"/>
          <w:lang w:val="en-US" w:eastAsia="ja-JP"/>
        </w:rPr>
        <w:t xml:space="preserve"> coverage enhancement scenarios and the simulation methodology</w:t>
      </w:r>
      <w:r w:rsidRPr="00FB6A81">
        <w:rPr>
          <w:rFonts w:eastAsia="MS Mincho" w:hint="eastAsia"/>
          <w:sz w:val="20"/>
          <w:szCs w:val="20"/>
        </w:rPr>
        <w:t>.</w:t>
      </w:r>
    </w:p>
    <w:p w14:paraId="463C550C" w14:textId="5BE0BE04" w:rsidR="0025389B" w:rsidRPr="002C4626" w:rsidRDefault="00C66594" w:rsidP="0025389B">
      <w:pPr>
        <w:pStyle w:val="Heading1"/>
      </w:pPr>
      <w:r>
        <w:t>Baseline coverage for FR1</w:t>
      </w:r>
    </w:p>
    <w:p w14:paraId="4626FEFE" w14:textId="19605285" w:rsidR="000C144F" w:rsidRDefault="00D12367" w:rsidP="0025389B">
      <w:pPr>
        <w:spacing w:before="120" w:after="120"/>
        <w:rPr>
          <w:color w:val="000000"/>
          <w:sz w:val="20"/>
          <w:szCs w:val="20"/>
          <w:lang w:val="en-US"/>
        </w:rPr>
      </w:pPr>
      <w:r>
        <w:rPr>
          <w:color w:val="000000"/>
          <w:sz w:val="20"/>
          <w:szCs w:val="20"/>
          <w:lang w:val="en-US"/>
        </w:rPr>
        <w:t>Before the study item was agreed, there were extensive discussion</w:t>
      </w:r>
      <w:r w:rsidR="00D00969">
        <w:rPr>
          <w:color w:val="000000"/>
          <w:sz w:val="20"/>
          <w:szCs w:val="20"/>
          <w:lang w:val="en-US"/>
        </w:rPr>
        <w:t>s</w:t>
      </w:r>
      <w:r>
        <w:rPr>
          <w:color w:val="000000"/>
          <w:sz w:val="20"/>
          <w:szCs w:val="20"/>
          <w:lang w:val="en-US"/>
        </w:rPr>
        <w:t xml:space="preserve"> on the scenarios and objectives of the coverage enhancement over the RAN email reflector.</w:t>
      </w:r>
      <w:r w:rsidR="00DF6E51">
        <w:rPr>
          <w:color w:val="000000"/>
          <w:sz w:val="20"/>
          <w:szCs w:val="20"/>
          <w:lang w:val="en-US"/>
        </w:rPr>
        <w:t xml:space="preserve"> </w:t>
      </w:r>
      <w:r w:rsidR="000C144F">
        <w:rPr>
          <w:color w:val="000000"/>
          <w:sz w:val="20"/>
          <w:szCs w:val="20"/>
          <w:lang w:val="en-US"/>
        </w:rPr>
        <w:t>During the discussion, the coverage concerns</w:t>
      </w:r>
      <w:r w:rsidR="00674ADF">
        <w:rPr>
          <w:color w:val="000000"/>
          <w:sz w:val="20"/>
          <w:szCs w:val="20"/>
          <w:lang w:val="en-US"/>
        </w:rPr>
        <w:t xml:space="preserve"> cover</w:t>
      </w:r>
      <w:r w:rsidR="000C144F">
        <w:rPr>
          <w:color w:val="000000"/>
          <w:sz w:val="20"/>
          <w:szCs w:val="20"/>
          <w:lang w:val="en-US"/>
        </w:rPr>
        <w:t xml:space="preserve"> almost </w:t>
      </w:r>
      <w:r w:rsidR="00674ADF">
        <w:rPr>
          <w:color w:val="000000"/>
          <w:sz w:val="20"/>
          <w:szCs w:val="20"/>
          <w:lang w:val="en-US"/>
        </w:rPr>
        <w:t>all</w:t>
      </w:r>
      <w:r w:rsidR="000C144F">
        <w:rPr>
          <w:color w:val="000000"/>
          <w:sz w:val="20"/>
          <w:szCs w:val="20"/>
          <w:lang w:val="en-US"/>
        </w:rPr>
        <w:t xml:space="preserve"> channels. It </w:t>
      </w:r>
      <w:r w:rsidR="00674ADF">
        <w:rPr>
          <w:color w:val="000000"/>
          <w:sz w:val="20"/>
          <w:szCs w:val="20"/>
          <w:lang w:val="en-US"/>
        </w:rPr>
        <w:t xml:space="preserve">is obvious </w:t>
      </w:r>
      <w:r w:rsidR="000C144F">
        <w:rPr>
          <w:rFonts w:hint="eastAsia"/>
          <w:color w:val="000000"/>
          <w:sz w:val="20"/>
          <w:szCs w:val="20"/>
          <w:lang w:val="en-US"/>
        </w:rPr>
        <w:t>d</w:t>
      </w:r>
      <w:r w:rsidR="000C144F">
        <w:rPr>
          <w:color w:val="000000"/>
          <w:sz w:val="20"/>
          <w:szCs w:val="20"/>
          <w:lang w:val="en-US"/>
        </w:rPr>
        <w:t>eviat</w:t>
      </w:r>
      <w:r w:rsidR="00674ADF">
        <w:rPr>
          <w:color w:val="000000"/>
          <w:sz w:val="20"/>
          <w:szCs w:val="20"/>
          <w:lang w:val="en-US"/>
        </w:rPr>
        <w:t>ing</w:t>
      </w:r>
      <w:r w:rsidR="000C144F">
        <w:rPr>
          <w:color w:val="000000"/>
          <w:sz w:val="20"/>
          <w:szCs w:val="20"/>
          <w:lang w:val="en-US"/>
        </w:rPr>
        <w:t xml:space="preserve"> the target </w:t>
      </w:r>
      <w:r w:rsidR="00674ADF">
        <w:rPr>
          <w:color w:val="000000"/>
          <w:sz w:val="20"/>
          <w:szCs w:val="20"/>
          <w:lang w:val="en-US"/>
        </w:rPr>
        <w:t xml:space="preserve">of </w:t>
      </w:r>
      <w:r w:rsidR="000C144F">
        <w:rPr>
          <w:color w:val="000000"/>
          <w:sz w:val="20"/>
          <w:szCs w:val="20"/>
          <w:lang w:val="en-US"/>
        </w:rPr>
        <w:t>this SI. For this study, the focus should identify the coverage bottleneck of specific channel first, then</w:t>
      </w:r>
      <w:r w:rsidR="00D00969">
        <w:rPr>
          <w:color w:val="000000"/>
          <w:sz w:val="20"/>
          <w:szCs w:val="20"/>
          <w:lang w:val="en-US"/>
        </w:rPr>
        <w:t xml:space="preserve"> specify the </w:t>
      </w:r>
      <w:r w:rsidR="000C144F">
        <w:rPr>
          <w:color w:val="000000"/>
          <w:sz w:val="20"/>
          <w:szCs w:val="20"/>
          <w:lang w:val="en-US"/>
        </w:rPr>
        <w:t>scheme</w:t>
      </w:r>
      <w:r w:rsidR="00D00969">
        <w:rPr>
          <w:color w:val="000000"/>
          <w:sz w:val="20"/>
          <w:szCs w:val="20"/>
          <w:lang w:val="en-US"/>
        </w:rPr>
        <w:t>s</w:t>
      </w:r>
      <w:r w:rsidR="000C144F">
        <w:rPr>
          <w:color w:val="000000"/>
          <w:sz w:val="20"/>
          <w:szCs w:val="20"/>
          <w:lang w:val="en-US"/>
        </w:rPr>
        <w:t xml:space="preserve"> to improve the coverage. The coverage extension should be avoided, </w:t>
      </w:r>
      <w:r w:rsidR="00674ADF">
        <w:rPr>
          <w:color w:val="000000"/>
          <w:sz w:val="20"/>
          <w:szCs w:val="20"/>
          <w:lang w:val="en-US"/>
        </w:rPr>
        <w:t xml:space="preserve">it could also cause the </w:t>
      </w:r>
      <w:r w:rsidR="00D00969">
        <w:rPr>
          <w:color w:val="000000"/>
          <w:sz w:val="20"/>
          <w:szCs w:val="20"/>
          <w:lang w:val="en-US"/>
        </w:rPr>
        <w:t xml:space="preserve">working area </w:t>
      </w:r>
      <w:r w:rsidR="000C144F">
        <w:rPr>
          <w:color w:val="000000"/>
          <w:sz w:val="20"/>
          <w:szCs w:val="20"/>
          <w:lang w:val="en-US"/>
        </w:rPr>
        <w:t>overlap</w:t>
      </w:r>
      <w:r w:rsidR="00DC1CAF">
        <w:rPr>
          <w:color w:val="000000"/>
          <w:sz w:val="20"/>
          <w:szCs w:val="20"/>
          <w:lang w:val="en-US"/>
        </w:rPr>
        <w:t>ping</w:t>
      </w:r>
      <w:r w:rsidR="000C144F">
        <w:rPr>
          <w:color w:val="000000"/>
          <w:sz w:val="20"/>
          <w:szCs w:val="20"/>
          <w:lang w:val="en-US"/>
        </w:rPr>
        <w:t xml:space="preserve"> with </w:t>
      </w:r>
      <w:r w:rsidR="00DC1CAF">
        <w:rPr>
          <w:color w:val="000000"/>
          <w:sz w:val="20"/>
          <w:szCs w:val="20"/>
          <w:lang w:val="en-US"/>
        </w:rPr>
        <w:t xml:space="preserve">SI </w:t>
      </w:r>
      <w:r w:rsidR="00674ADF">
        <w:rPr>
          <w:color w:val="000000"/>
          <w:sz w:val="20"/>
          <w:szCs w:val="20"/>
          <w:lang w:val="en-US"/>
        </w:rPr>
        <w:t>reduced capability NR device</w:t>
      </w:r>
      <w:r w:rsidR="000C144F">
        <w:rPr>
          <w:color w:val="000000"/>
          <w:sz w:val="20"/>
          <w:szCs w:val="20"/>
          <w:lang w:val="en-US"/>
        </w:rPr>
        <w:t xml:space="preserve">. </w:t>
      </w:r>
    </w:p>
    <w:p w14:paraId="6DF3A3D6" w14:textId="0BB5803A" w:rsidR="000C144F" w:rsidRPr="00C66594" w:rsidRDefault="000C144F" w:rsidP="000C144F">
      <w:pPr>
        <w:widowControl w:val="0"/>
        <w:jc w:val="both"/>
        <w:rPr>
          <w:b/>
          <w:bCs/>
          <w:sz w:val="20"/>
          <w:szCs w:val="20"/>
          <w:lang w:val="en-US"/>
        </w:rPr>
      </w:pPr>
      <w:r w:rsidRPr="00C66594">
        <w:rPr>
          <w:b/>
          <w:bCs/>
          <w:sz w:val="20"/>
          <w:szCs w:val="20"/>
          <w:lang w:val="en-US"/>
        </w:rPr>
        <w:t>Observation</w:t>
      </w:r>
      <w:r w:rsidR="007A3F6E">
        <w:rPr>
          <w:b/>
          <w:bCs/>
          <w:sz w:val="20"/>
          <w:szCs w:val="20"/>
          <w:lang w:val="en-US"/>
        </w:rPr>
        <w:t xml:space="preserve"> 1</w:t>
      </w:r>
      <w:r w:rsidRPr="00C66594">
        <w:rPr>
          <w:b/>
          <w:bCs/>
          <w:sz w:val="20"/>
          <w:szCs w:val="20"/>
          <w:lang w:val="en-US"/>
        </w:rPr>
        <w:t xml:space="preserve">: </w:t>
      </w:r>
      <w:r w:rsidR="00D00969">
        <w:rPr>
          <w:b/>
          <w:bCs/>
          <w:sz w:val="20"/>
          <w:szCs w:val="20"/>
          <w:lang w:val="en-US"/>
        </w:rPr>
        <w:t>C</w:t>
      </w:r>
      <w:r w:rsidRPr="00C66594">
        <w:rPr>
          <w:b/>
          <w:bCs/>
          <w:sz w:val="20"/>
          <w:szCs w:val="20"/>
          <w:lang w:val="en-US"/>
        </w:rPr>
        <w:t xml:space="preserve">overage enhancement </w:t>
      </w:r>
      <w:r w:rsidR="00A336E0">
        <w:rPr>
          <w:b/>
          <w:bCs/>
          <w:sz w:val="20"/>
          <w:szCs w:val="20"/>
          <w:lang w:val="en-US"/>
        </w:rPr>
        <w:t xml:space="preserve">study </w:t>
      </w:r>
      <w:r w:rsidRPr="00C66594">
        <w:rPr>
          <w:b/>
          <w:bCs/>
          <w:sz w:val="20"/>
          <w:szCs w:val="20"/>
          <w:lang w:val="en-US"/>
        </w:rPr>
        <w:t>focus</w:t>
      </w:r>
      <w:r w:rsidR="00A336E0">
        <w:rPr>
          <w:b/>
          <w:bCs/>
          <w:sz w:val="20"/>
          <w:szCs w:val="20"/>
          <w:lang w:val="en-US"/>
        </w:rPr>
        <w:t>es</w:t>
      </w:r>
      <w:r w:rsidRPr="00C66594">
        <w:rPr>
          <w:b/>
          <w:bCs/>
          <w:sz w:val="20"/>
          <w:szCs w:val="20"/>
          <w:lang w:val="en-US"/>
        </w:rPr>
        <w:t xml:space="preserve"> on specific channel</w:t>
      </w:r>
      <w:r w:rsidR="006E6CB0">
        <w:rPr>
          <w:b/>
          <w:bCs/>
          <w:sz w:val="20"/>
          <w:szCs w:val="20"/>
          <w:lang w:val="en-US"/>
        </w:rPr>
        <w:t xml:space="preserve">s </w:t>
      </w:r>
      <w:r w:rsidRPr="00C66594">
        <w:rPr>
          <w:b/>
          <w:bCs/>
          <w:sz w:val="20"/>
          <w:szCs w:val="20"/>
          <w:lang w:val="en-US"/>
        </w:rPr>
        <w:t>with the coverage bottleneck, coverage extension should avoid.</w:t>
      </w:r>
    </w:p>
    <w:p w14:paraId="5C0D268A" w14:textId="77777777" w:rsidR="000C144F" w:rsidRPr="000C144F" w:rsidRDefault="000C144F" w:rsidP="00E84554">
      <w:pPr>
        <w:pStyle w:val="ListParagraph"/>
        <w:widowControl w:val="0"/>
        <w:numPr>
          <w:ilvl w:val="0"/>
          <w:numId w:val="34"/>
        </w:numPr>
        <w:ind w:left="567"/>
        <w:jc w:val="both"/>
        <w:rPr>
          <w:rFonts w:eastAsia="Times New Roman"/>
          <w:b/>
          <w:bCs/>
          <w:sz w:val="20"/>
          <w:szCs w:val="20"/>
          <w:lang w:val="en-US"/>
        </w:rPr>
      </w:pPr>
      <w:r w:rsidRPr="000C144F">
        <w:rPr>
          <w:b/>
          <w:bCs/>
          <w:sz w:val="20"/>
          <w:szCs w:val="20"/>
          <w:lang w:val="en-US"/>
        </w:rPr>
        <w:t>Identify the coverage bottleneck of PRACH, msg3, VoIP, PUSCH and PUCCH formats in the UL</w:t>
      </w:r>
    </w:p>
    <w:p w14:paraId="16534CF1" w14:textId="47ECA1EF" w:rsidR="000C144F" w:rsidRPr="00C66594" w:rsidRDefault="000C144F" w:rsidP="00E84554">
      <w:pPr>
        <w:pStyle w:val="ListParagraph"/>
        <w:widowControl w:val="0"/>
        <w:numPr>
          <w:ilvl w:val="0"/>
          <w:numId w:val="34"/>
        </w:numPr>
        <w:ind w:left="567"/>
        <w:jc w:val="both"/>
        <w:rPr>
          <w:rFonts w:eastAsia="Times New Roman"/>
          <w:b/>
          <w:bCs/>
          <w:sz w:val="20"/>
          <w:szCs w:val="20"/>
          <w:lang w:val="en-US"/>
        </w:rPr>
      </w:pPr>
      <w:r w:rsidRPr="00C66594">
        <w:rPr>
          <w:rFonts w:eastAsia="Times New Roman"/>
          <w:b/>
          <w:bCs/>
          <w:sz w:val="20"/>
          <w:szCs w:val="20"/>
          <w:lang w:val="en-US"/>
        </w:rPr>
        <w:t>Identify the coverage bottleneck of PBCH, PSS/SSS, VoIP, PDCCH formats, PDSCH in the DL</w:t>
      </w:r>
    </w:p>
    <w:p w14:paraId="445D4E2A" w14:textId="49FB1E2A" w:rsidR="00AE79D9" w:rsidRDefault="00AE79D9" w:rsidP="00674ADF">
      <w:pPr>
        <w:spacing w:before="120" w:after="120"/>
        <w:rPr>
          <w:color w:val="000000"/>
          <w:sz w:val="20"/>
          <w:szCs w:val="20"/>
          <w:lang w:val="en-US"/>
        </w:rPr>
      </w:pPr>
      <w:r>
        <w:rPr>
          <w:color w:val="000000"/>
          <w:sz w:val="20"/>
          <w:szCs w:val="20"/>
          <w:lang w:val="en-US"/>
        </w:rPr>
        <w:t>For FR1 Urban (outdoor gNB serving indoor UE) scenario, the following points could be better to clarify first.</w:t>
      </w:r>
    </w:p>
    <w:p w14:paraId="41C114FD" w14:textId="67C4C72F" w:rsidR="00AE79D9" w:rsidRDefault="00AE79D9" w:rsidP="00AE79D9">
      <w:pPr>
        <w:pStyle w:val="ListParagraph"/>
        <w:numPr>
          <w:ilvl w:val="0"/>
          <w:numId w:val="37"/>
        </w:numPr>
        <w:spacing w:before="120" w:after="120"/>
        <w:rPr>
          <w:color w:val="000000"/>
          <w:sz w:val="20"/>
          <w:szCs w:val="20"/>
          <w:lang w:val="en-US"/>
        </w:rPr>
      </w:pPr>
      <w:r>
        <w:rPr>
          <w:color w:val="000000"/>
          <w:sz w:val="20"/>
          <w:szCs w:val="20"/>
          <w:lang w:val="en-US"/>
        </w:rPr>
        <w:t>gNB served users are all indoor users.</w:t>
      </w:r>
    </w:p>
    <w:p w14:paraId="6C41401F" w14:textId="30450D78" w:rsidR="00797CA1" w:rsidRDefault="00797CA1" w:rsidP="00AE79D9">
      <w:pPr>
        <w:pStyle w:val="ListParagraph"/>
        <w:numPr>
          <w:ilvl w:val="0"/>
          <w:numId w:val="37"/>
        </w:numPr>
        <w:spacing w:before="120" w:after="120"/>
        <w:rPr>
          <w:color w:val="000000"/>
          <w:sz w:val="20"/>
          <w:szCs w:val="20"/>
          <w:lang w:val="en-US"/>
        </w:rPr>
      </w:pPr>
      <w:r>
        <w:rPr>
          <w:color w:val="000000"/>
          <w:sz w:val="20"/>
          <w:szCs w:val="20"/>
          <w:lang w:val="en-US"/>
        </w:rPr>
        <w:t>TDD NR frame structure in the evaluation, i.e., UL/DL ratio</w:t>
      </w:r>
    </w:p>
    <w:p w14:paraId="50D13B27" w14:textId="7164B1E0" w:rsidR="00D85078" w:rsidRDefault="00D85078" w:rsidP="00674ADF">
      <w:pPr>
        <w:spacing w:before="120" w:after="120"/>
        <w:rPr>
          <w:color w:val="000000"/>
          <w:sz w:val="20"/>
          <w:szCs w:val="20"/>
          <w:lang w:val="en-US"/>
        </w:rPr>
      </w:pPr>
      <w:r>
        <w:rPr>
          <w:color w:val="000000"/>
          <w:sz w:val="20"/>
          <w:szCs w:val="20"/>
          <w:lang w:val="en-US"/>
        </w:rPr>
        <w:t>For the rural area coverage scenario, to support the extreme coverage should not be prioritized, as it is not the typical deployment scenario</w:t>
      </w:r>
      <w:r w:rsidR="00D86F0D">
        <w:rPr>
          <w:color w:val="000000"/>
          <w:sz w:val="20"/>
          <w:szCs w:val="20"/>
          <w:lang w:val="en-US"/>
        </w:rPr>
        <w:t xml:space="preserve">, the target DL and UL data rate need to be considered </w:t>
      </w:r>
      <w:r w:rsidR="007035B5">
        <w:rPr>
          <w:color w:val="000000"/>
          <w:sz w:val="20"/>
          <w:szCs w:val="20"/>
          <w:lang w:val="en-US"/>
        </w:rPr>
        <w:t>additionally</w:t>
      </w:r>
      <w:r>
        <w:rPr>
          <w:color w:val="000000"/>
          <w:sz w:val="20"/>
          <w:szCs w:val="20"/>
          <w:lang w:val="en-US"/>
        </w:rPr>
        <w:t>.</w:t>
      </w:r>
    </w:p>
    <w:p w14:paraId="3F08D9B5" w14:textId="4EAE9AAF" w:rsidR="00582191" w:rsidRDefault="00582191" w:rsidP="00674ADF">
      <w:pPr>
        <w:spacing w:before="120" w:after="120"/>
        <w:rPr>
          <w:color w:val="000000"/>
          <w:sz w:val="20"/>
          <w:szCs w:val="20"/>
          <w:lang w:val="en-US"/>
        </w:rPr>
      </w:pPr>
      <w:r>
        <w:rPr>
          <w:color w:val="000000"/>
          <w:sz w:val="20"/>
          <w:szCs w:val="20"/>
          <w:lang w:val="en-US"/>
        </w:rPr>
        <w:t>In Rel.15 NR design, serval techniques</w:t>
      </w:r>
      <w:r w:rsidR="00DC1CAF">
        <w:rPr>
          <w:color w:val="000000"/>
          <w:sz w:val="20"/>
          <w:szCs w:val="20"/>
          <w:lang w:val="en-US"/>
        </w:rPr>
        <w:t xml:space="preserve"> were</w:t>
      </w:r>
      <w:r>
        <w:rPr>
          <w:color w:val="000000"/>
          <w:sz w:val="20"/>
          <w:szCs w:val="20"/>
          <w:lang w:val="en-US"/>
        </w:rPr>
        <w:t xml:space="preserve"> already</w:t>
      </w:r>
      <w:r w:rsidR="00DC1CAF">
        <w:rPr>
          <w:color w:val="000000"/>
          <w:sz w:val="20"/>
          <w:szCs w:val="20"/>
          <w:lang w:val="en-US"/>
        </w:rPr>
        <w:t xml:space="preserve"> specified to</w:t>
      </w:r>
      <w:r>
        <w:rPr>
          <w:color w:val="000000"/>
          <w:sz w:val="20"/>
          <w:szCs w:val="20"/>
          <w:lang w:val="en-US"/>
        </w:rPr>
        <w:t xml:space="preserve"> support the coverage enhancement, such as the time domain transmission/reception repetition, frequency hopping, </w:t>
      </w:r>
      <w:r w:rsidR="005E254B">
        <w:rPr>
          <w:color w:val="000000"/>
          <w:sz w:val="20"/>
          <w:szCs w:val="20"/>
          <w:lang w:val="en-US"/>
        </w:rPr>
        <w:t xml:space="preserve">and </w:t>
      </w:r>
      <w:r>
        <w:rPr>
          <w:color w:val="000000"/>
          <w:sz w:val="20"/>
          <w:szCs w:val="20"/>
          <w:lang w:val="en-US"/>
        </w:rPr>
        <w:t xml:space="preserve">PUSCH repetition enhancement in Rel.16, these should be the baseline for </w:t>
      </w:r>
      <w:r w:rsidR="00DC1CAF">
        <w:rPr>
          <w:color w:val="000000"/>
          <w:sz w:val="20"/>
          <w:szCs w:val="20"/>
          <w:lang w:val="en-US"/>
        </w:rPr>
        <w:t xml:space="preserve">the </w:t>
      </w:r>
      <w:r>
        <w:rPr>
          <w:color w:val="000000"/>
          <w:sz w:val="20"/>
          <w:szCs w:val="20"/>
          <w:lang w:val="en-US"/>
        </w:rPr>
        <w:t>further enhancement</w:t>
      </w:r>
      <w:r w:rsidR="00DC1CAF">
        <w:rPr>
          <w:color w:val="000000"/>
          <w:sz w:val="20"/>
          <w:szCs w:val="20"/>
          <w:lang w:val="en-US"/>
        </w:rPr>
        <w:t xml:space="preserve"> of the coverage</w:t>
      </w:r>
      <w:r>
        <w:rPr>
          <w:color w:val="000000"/>
          <w:sz w:val="20"/>
          <w:szCs w:val="20"/>
          <w:lang w:val="en-US"/>
        </w:rPr>
        <w:t>.</w:t>
      </w:r>
    </w:p>
    <w:p w14:paraId="28FD1A9D" w14:textId="6974F08E" w:rsidR="00FF1DB5" w:rsidRPr="00A336E0" w:rsidRDefault="00582191" w:rsidP="00FF1DB5">
      <w:pPr>
        <w:spacing w:before="120" w:after="120"/>
        <w:rPr>
          <w:b/>
          <w:bCs/>
          <w:color w:val="000000"/>
          <w:sz w:val="20"/>
          <w:szCs w:val="20"/>
        </w:rPr>
      </w:pPr>
      <w:r>
        <w:rPr>
          <w:b/>
          <w:bCs/>
          <w:color w:val="000000"/>
          <w:sz w:val="20"/>
          <w:szCs w:val="20"/>
          <w:lang w:val="en-US"/>
        </w:rPr>
        <w:lastRenderedPageBreak/>
        <w:t>Observation 2</w:t>
      </w:r>
      <w:r w:rsidR="00080CEF">
        <w:rPr>
          <w:b/>
          <w:bCs/>
          <w:color w:val="000000"/>
          <w:sz w:val="20"/>
          <w:szCs w:val="20"/>
          <w:lang w:val="en-US"/>
        </w:rPr>
        <w:t xml:space="preserve">: </w:t>
      </w:r>
      <w:r>
        <w:rPr>
          <w:b/>
          <w:bCs/>
          <w:color w:val="000000"/>
          <w:sz w:val="20"/>
          <w:szCs w:val="20"/>
          <w:lang w:val="en-US"/>
        </w:rPr>
        <w:t xml:space="preserve">Existing </w:t>
      </w:r>
      <w:r w:rsidR="005E254B">
        <w:rPr>
          <w:b/>
          <w:bCs/>
          <w:color w:val="000000"/>
          <w:sz w:val="20"/>
          <w:szCs w:val="20"/>
          <w:lang w:val="en-US"/>
        </w:rPr>
        <w:t xml:space="preserve">defined </w:t>
      </w:r>
      <w:r>
        <w:rPr>
          <w:b/>
          <w:bCs/>
          <w:color w:val="000000"/>
          <w:sz w:val="20"/>
          <w:szCs w:val="20"/>
          <w:lang w:val="en-US"/>
        </w:rPr>
        <w:t xml:space="preserve">coverage enhancement </w:t>
      </w:r>
      <w:r w:rsidR="005E254B">
        <w:rPr>
          <w:b/>
          <w:bCs/>
          <w:color w:val="000000"/>
          <w:sz w:val="20"/>
          <w:szCs w:val="20"/>
          <w:lang w:val="en-US"/>
        </w:rPr>
        <w:t xml:space="preserve">techniques </w:t>
      </w:r>
      <w:r>
        <w:rPr>
          <w:b/>
          <w:bCs/>
          <w:color w:val="000000"/>
          <w:sz w:val="20"/>
          <w:szCs w:val="20"/>
          <w:lang w:val="en-US"/>
        </w:rPr>
        <w:t>should be the benchmark for further coverage enhancement</w:t>
      </w:r>
      <w:r w:rsidR="00EE7B9D">
        <w:rPr>
          <w:b/>
          <w:bCs/>
          <w:color w:val="000000"/>
          <w:sz w:val="20"/>
          <w:szCs w:val="20"/>
        </w:rPr>
        <w:t xml:space="preserve">. </w:t>
      </w:r>
    </w:p>
    <w:p w14:paraId="6A770C16" w14:textId="3F74ACCD" w:rsidR="00D12367" w:rsidRDefault="00CC05A7" w:rsidP="00D12367">
      <w:pPr>
        <w:pStyle w:val="Heading1"/>
      </w:pPr>
      <w:r>
        <w:t>Evaluation</w:t>
      </w:r>
      <w:r w:rsidR="00D12367">
        <w:t xml:space="preserve"> </w:t>
      </w:r>
      <w:r>
        <w:t>methodology</w:t>
      </w:r>
    </w:p>
    <w:p w14:paraId="304C708C" w14:textId="3D2011FE" w:rsidR="00CC05A7" w:rsidRPr="00CC05A7" w:rsidRDefault="00CC05A7" w:rsidP="00D12367">
      <w:pPr>
        <w:overflowPunct w:val="0"/>
        <w:autoSpaceDE w:val="0"/>
        <w:autoSpaceDN w:val="0"/>
        <w:adjustRightInd w:val="0"/>
        <w:jc w:val="both"/>
        <w:textAlignment w:val="baseline"/>
        <w:rPr>
          <w:rFonts w:eastAsia="MS Mincho"/>
          <w:sz w:val="20"/>
          <w:szCs w:val="20"/>
          <w:lang w:val="en-US" w:eastAsia="ja-JP"/>
        </w:rPr>
      </w:pPr>
      <w:r>
        <w:rPr>
          <w:rFonts w:eastAsia="MS Mincho"/>
          <w:sz w:val="20"/>
          <w:szCs w:val="20"/>
          <w:lang w:val="en-US" w:eastAsia="ja-JP"/>
        </w:rPr>
        <w:t xml:space="preserve">To identify the coverage issue, MCL based evaluation methodology can be used. </w:t>
      </w:r>
      <w:r w:rsidRPr="00CC05A7">
        <w:rPr>
          <w:sz w:val="20"/>
          <w:szCs w:val="20"/>
        </w:rPr>
        <w:t xml:space="preserve">The maximum coupling loss (MCL) is the limit value of the coupling loss at which the </w:t>
      </w:r>
      <w:r w:rsidR="002D3ECD">
        <w:rPr>
          <w:sz w:val="20"/>
          <w:szCs w:val="20"/>
          <w:lang w:val="en-US"/>
        </w:rPr>
        <w:t>service</w:t>
      </w:r>
      <w:r w:rsidRPr="00CC05A7">
        <w:rPr>
          <w:sz w:val="20"/>
          <w:szCs w:val="20"/>
        </w:rPr>
        <w:t xml:space="preserve"> can be delivered, and therefore defines the coverage of the service. It is defined in the UL and DL</w:t>
      </w:r>
      <w:r>
        <w:rPr>
          <w:sz w:val="20"/>
          <w:szCs w:val="20"/>
          <w:lang w:val="en-US"/>
        </w:rPr>
        <w:t>, and is evaluated via the link budget an</w:t>
      </w:r>
      <w:r w:rsidR="002D3ECD">
        <w:rPr>
          <w:sz w:val="20"/>
          <w:szCs w:val="20"/>
          <w:lang w:val="en-US"/>
        </w:rPr>
        <w:t>aly</w:t>
      </w:r>
      <w:r>
        <w:rPr>
          <w:sz w:val="20"/>
          <w:szCs w:val="20"/>
          <w:lang w:val="en-US"/>
        </w:rPr>
        <w:t xml:space="preserve">sis. The following MCL </w:t>
      </w:r>
      <w:r w:rsidR="00797CA1">
        <w:rPr>
          <w:sz w:val="20"/>
          <w:szCs w:val="20"/>
          <w:lang w:val="en-US"/>
        </w:rPr>
        <w:t>calculation</w:t>
      </w:r>
      <w:r>
        <w:rPr>
          <w:sz w:val="20"/>
          <w:szCs w:val="20"/>
          <w:lang w:val="en-US"/>
        </w:rPr>
        <w:t xml:space="preserve"> table can be considered for evaluation.</w:t>
      </w:r>
    </w:p>
    <w:p w14:paraId="4007D7B9" w14:textId="721FEA00" w:rsidR="00D85078" w:rsidRDefault="00CC05A7" w:rsidP="00D12367">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val="en-US" w:eastAsia="ja-JP"/>
        </w:rPr>
        <w:t xml:space="preserve"> </w:t>
      </w:r>
    </w:p>
    <w:p w14:paraId="0EBD9CC3" w14:textId="1B88230A" w:rsidR="00D85078" w:rsidRDefault="001662AA" w:rsidP="00CC05A7">
      <w:pPr>
        <w:overflowPunct w:val="0"/>
        <w:autoSpaceDE w:val="0"/>
        <w:autoSpaceDN w:val="0"/>
        <w:adjustRightInd w:val="0"/>
        <w:jc w:val="center"/>
        <w:textAlignment w:val="baseline"/>
        <w:rPr>
          <w:sz w:val="20"/>
          <w:szCs w:val="20"/>
          <w:lang w:val="en-US"/>
        </w:rPr>
      </w:pPr>
      <w:r>
        <w:rPr>
          <w:sz w:val="20"/>
          <w:szCs w:val="20"/>
          <w:lang w:val="en-US"/>
        </w:rPr>
        <w:t xml:space="preserve">Table1: </w:t>
      </w:r>
      <w:r w:rsidR="00CC05A7" w:rsidRPr="00CC05A7">
        <w:rPr>
          <w:sz w:val="20"/>
          <w:szCs w:val="20"/>
        </w:rPr>
        <w:t>MCL calculation</w:t>
      </w:r>
      <w:r w:rsidR="00CC05A7" w:rsidRPr="00CC05A7">
        <w:rPr>
          <w:sz w:val="20"/>
          <w:szCs w:val="20"/>
          <w:lang w:val="en-US"/>
        </w:rPr>
        <w:t xml:space="preserve"> table</w:t>
      </w:r>
    </w:p>
    <w:tbl>
      <w:tblPr>
        <w:tblW w:w="7281" w:type="dxa"/>
        <w:jc w:val="center"/>
        <w:tblLayout w:type="fixed"/>
        <w:tblCellMar>
          <w:left w:w="107" w:type="dxa"/>
          <w:right w:w="107" w:type="dxa"/>
        </w:tblCellMar>
        <w:tblLook w:val="0000" w:firstRow="0" w:lastRow="0" w:firstColumn="0" w:lastColumn="0" w:noHBand="0" w:noVBand="0"/>
      </w:tblPr>
      <w:tblGrid>
        <w:gridCol w:w="6021"/>
        <w:gridCol w:w="1260"/>
      </w:tblGrid>
      <w:tr w:rsidR="001662AA" w:rsidRPr="001662AA" w14:paraId="231FE33F"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shd w:val="clear" w:color="auto" w:fill="auto"/>
            <w:vAlign w:val="center"/>
          </w:tcPr>
          <w:p w14:paraId="2D0C1CFA" w14:textId="77777777" w:rsidR="001662AA" w:rsidRPr="001662AA" w:rsidRDefault="001662AA" w:rsidP="00336E45">
            <w:pPr>
              <w:tabs>
                <w:tab w:val="left" w:pos="851"/>
              </w:tabs>
              <w:spacing w:after="60"/>
              <w:rPr>
                <w:b/>
                <w:sz w:val="20"/>
                <w:szCs w:val="20"/>
              </w:rPr>
            </w:pPr>
            <w:r w:rsidRPr="001662AA">
              <w:rPr>
                <w:b/>
                <w:sz w:val="20"/>
                <w:szCs w:val="20"/>
              </w:rPr>
              <w:t>Physical channel name</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tcPr>
          <w:p w14:paraId="44C05F96" w14:textId="77777777" w:rsidR="001662AA" w:rsidRPr="001662AA" w:rsidRDefault="001662AA" w:rsidP="00336E45">
            <w:pPr>
              <w:tabs>
                <w:tab w:val="left" w:pos="851"/>
              </w:tabs>
              <w:spacing w:after="60"/>
              <w:rPr>
                <w:b/>
                <w:sz w:val="20"/>
                <w:szCs w:val="20"/>
              </w:rPr>
            </w:pPr>
            <w:r w:rsidRPr="001662AA">
              <w:rPr>
                <w:b/>
                <w:sz w:val="20"/>
                <w:szCs w:val="20"/>
              </w:rPr>
              <w:t>Value</w:t>
            </w:r>
          </w:p>
        </w:tc>
      </w:tr>
      <w:tr w:rsidR="001662AA" w:rsidRPr="001662AA" w14:paraId="697BA87F"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195DB4FE" w14:textId="77777777" w:rsidR="001662AA" w:rsidRPr="001662AA" w:rsidRDefault="001662AA" w:rsidP="00336E45">
            <w:pPr>
              <w:tabs>
                <w:tab w:val="left" w:pos="851"/>
              </w:tabs>
              <w:spacing w:after="60"/>
              <w:rPr>
                <w:b/>
                <w:bCs/>
                <w:sz w:val="20"/>
                <w:szCs w:val="20"/>
              </w:rPr>
            </w:pPr>
            <w:r w:rsidRPr="001662AA">
              <w:rPr>
                <w:b/>
                <w:bCs/>
                <w:sz w:val="20"/>
                <w:szCs w:val="20"/>
              </w:rPr>
              <w:t>Transmitter</w:t>
            </w:r>
          </w:p>
        </w:tc>
        <w:tc>
          <w:tcPr>
            <w:tcW w:w="1260" w:type="dxa"/>
            <w:tcBorders>
              <w:top w:val="single" w:sz="6" w:space="0" w:color="auto"/>
              <w:left w:val="single" w:sz="6" w:space="0" w:color="auto"/>
              <w:bottom w:val="single" w:sz="6" w:space="0" w:color="auto"/>
              <w:right w:val="single" w:sz="6" w:space="0" w:color="auto"/>
            </w:tcBorders>
            <w:vAlign w:val="center"/>
          </w:tcPr>
          <w:p w14:paraId="3AF5243A" w14:textId="77777777" w:rsidR="001662AA" w:rsidRPr="001662AA" w:rsidRDefault="001662AA" w:rsidP="00336E45">
            <w:pPr>
              <w:tabs>
                <w:tab w:val="left" w:pos="851"/>
              </w:tabs>
              <w:spacing w:after="60"/>
              <w:rPr>
                <w:sz w:val="20"/>
                <w:szCs w:val="20"/>
              </w:rPr>
            </w:pPr>
          </w:p>
        </w:tc>
      </w:tr>
      <w:tr w:rsidR="001662AA" w:rsidRPr="001662AA" w14:paraId="05F0781C"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47FC11C3" w14:textId="77777777" w:rsidR="001662AA" w:rsidRPr="001662AA" w:rsidRDefault="001662AA" w:rsidP="00336E45">
            <w:pPr>
              <w:tabs>
                <w:tab w:val="left" w:pos="851"/>
              </w:tabs>
              <w:spacing w:after="60"/>
              <w:rPr>
                <w:bCs/>
                <w:sz w:val="20"/>
                <w:szCs w:val="20"/>
              </w:rPr>
            </w:pPr>
            <w:r w:rsidRPr="001662AA">
              <w:rPr>
                <w:bCs/>
                <w:sz w:val="20"/>
                <w:szCs w:val="20"/>
              </w:rPr>
              <w:t>(1) Tx power  (dBm)</w:t>
            </w:r>
          </w:p>
        </w:tc>
        <w:tc>
          <w:tcPr>
            <w:tcW w:w="1260" w:type="dxa"/>
            <w:tcBorders>
              <w:top w:val="single" w:sz="6" w:space="0" w:color="auto"/>
              <w:left w:val="single" w:sz="6" w:space="0" w:color="auto"/>
              <w:bottom w:val="single" w:sz="6" w:space="0" w:color="auto"/>
              <w:right w:val="single" w:sz="6" w:space="0" w:color="auto"/>
            </w:tcBorders>
            <w:vAlign w:val="bottom"/>
          </w:tcPr>
          <w:p w14:paraId="2C4248D2" w14:textId="77777777" w:rsidR="001662AA" w:rsidRPr="001662AA" w:rsidRDefault="001662AA" w:rsidP="00336E45">
            <w:pPr>
              <w:tabs>
                <w:tab w:val="left" w:pos="851"/>
              </w:tabs>
              <w:spacing w:after="60"/>
              <w:rPr>
                <w:sz w:val="20"/>
                <w:szCs w:val="20"/>
              </w:rPr>
            </w:pPr>
          </w:p>
        </w:tc>
      </w:tr>
      <w:tr w:rsidR="001662AA" w:rsidRPr="001662AA" w14:paraId="2F6FF0EC"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753C7926" w14:textId="77777777" w:rsidR="001662AA" w:rsidRPr="001662AA" w:rsidRDefault="001662AA" w:rsidP="00336E45">
            <w:pPr>
              <w:tabs>
                <w:tab w:val="left" w:pos="851"/>
              </w:tabs>
              <w:spacing w:after="60"/>
              <w:rPr>
                <w:b/>
                <w:bCs/>
                <w:sz w:val="20"/>
                <w:szCs w:val="20"/>
              </w:rPr>
            </w:pPr>
            <w:r w:rsidRPr="001662AA">
              <w:rPr>
                <w:b/>
                <w:bCs/>
                <w:sz w:val="20"/>
                <w:szCs w:val="20"/>
              </w:rPr>
              <w:t>Receiver</w:t>
            </w:r>
          </w:p>
        </w:tc>
        <w:tc>
          <w:tcPr>
            <w:tcW w:w="1260" w:type="dxa"/>
            <w:tcBorders>
              <w:top w:val="single" w:sz="6" w:space="0" w:color="auto"/>
              <w:left w:val="single" w:sz="6" w:space="0" w:color="auto"/>
              <w:bottom w:val="single" w:sz="6" w:space="0" w:color="auto"/>
              <w:right w:val="single" w:sz="6" w:space="0" w:color="auto"/>
            </w:tcBorders>
            <w:vAlign w:val="bottom"/>
          </w:tcPr>
          <w:p w14:paraId="2C00A2BD" w14:textId="77777777" w:rsidR="001662AA" w:rsidRPr="001662AA" w:rsidRDefault="001662AA" w:rsidP="00336E45">
            <w:pPr>
              <w:tabs>
                <w:tab w:val="left" w:pos="851"/>
              </w:tabs>
              <w:spacing w:after="60"/>
              <w:rPr>
                <w:sz w:val="20"/>
                <w:szCs w:val="20"/>
              </w:rPr>
            </w:pPr>
          </w:p>
        </w:tc>
      </w:tr>
      <w:tr w:rsidR="001662AA" w:rsidRPr="001662AA" w14:paraId="6E1721C7" w14:textId="77777777" w:rsidTr="00336E45">
        <w:trPr>
          <w:cantSplit/>
          <w:trHeight w:val="435"/>
          <w:jc w:val="center"/>
        </w:trPr>
        <w:tc>
          <w:tcPr>
            <w:tcW w:w="6021" w:type="dxa"/>
            <w:tcBorders>
              <w:top w:val="single" w:sz="6" w:space="0" w:color="auto"/>
              <w:left w:val="single" w:sz="6" w:space="0" w:color="auto"/>
              <w:bottom w:val="single" w:sz="6" w:space="0" w:color="auto"/>
              <w:right w:val="single" w:sz="6" w:space="0" w:color="auto"/>
            </w:tcBorders>
            <w:vAlign w:val="center"/>
          </w:tcPr>
          <w:p w14:paraId="747A536A" w14:textId="77777777" w:rsidR="001662AA" w:rsidRPr="001662AA" w:rsidRDefault="001662AA" w:rsidP="00336E45">
            <w:pPr>
              <w:tabs>
                <w:tab w:val="left" w:pos="851"/>
              </w:tabs>
              <w:spacing w:after="60"/>
              <w:rPr>
                <w:sz w:val="20"/>
                <w:szCs w:val="20"/>
              </w:rPr>
            </w:pPr>
            <w:r w:rsidRPr="001662AA">
              <w:rPr>
                <w:sz w:val="20"/>
                <w:szCs w:val="20"/>
              </w:rPr>
              <w:t>(2) Thermal noise density (dBm/Hz)</w:t>
            </w:r>
          </w:p>
        </w:tc>
        <w:tc>
          <w:tcPr>
            <w:tcW w:w="1260" w:type="dxa"/>
            <w:tcBorders>
              <w:top w:val="single" w:sz="6" w:space="0" w:color="auto"/>
              <w:left w:val="single" w:sz="6" w:space="0" w:color="auto"/>
              <w:bottom w:val="single" w:sz="6" w:space="0" w:color="auto"/>
              <w:right w:val="single" w:sz="6" w:space="0" w:color="auto"/>
            </w:tcBorders>
            <w:vAlign w:val="center"/>
          </w:tcPr>
          <w:p w14:paraId="13DF06DE" w14:textId="77777777" w:rsidR="001662AA" w:rsidRPr="001662AA" w:rsidRDefault="001662AA" w:rsidP="00336E45">
            <w:pPr>
              <w:tabs>
                <w:tab w:val="left" w:pos="851"/>
              </w:tabs>
              <w:spacing w:after="60"/>
              <w:rPr>
                <w:sz w:val="20"/>
                <w:szCs w:val="20"/>
              </w:rPr>
            </w:pPr>
          </w:p>
        </w:tc>
      </w:tr>
      <w:tr w:rsidR="001662AA" w:rsidRPr="001662AA" w14:paraId="3F7FCE77" w14:textId="77777777" w:rsidTr="00336E45">
        <w:trPr>
          <w:cantSplit/>
          <w:trHeight w:val="435"/>
          <w:jc w:val="center"/>
        </w:trPr>
        <w:tc>
          <w:tcPr>
            <w:tcW w:w="6021" w:type="dxa"/>
            <w:tcBorders>
              <w:top w:val="single" w:sz="6" w:space="0" w:color="auto"/>
              <w:left w:val="single" w:sz="6" w:space="0" w:color="auto"/>
              <w:bottom w:val="single" w:sz="6" w:space="0" w:color="auto"/>
              <w:right w:val="single" w:sz="6" w:space="0" w:color="auto"/>
            </w:tcBorders>
            <w:vAlign w:val="center"/>
          </w:tcPr>
          <w:p w14:paraId="0877B2CD" w14:textId="77777777" w:rsidR="001662AA" w:rsidRPr="001662AA" w:rsidRDefault="001662AA" w:rsidP="00336E45">
            <w:pPr>
              <w:tabs>
                <w:tab w:val="left" w:pos="851"/>
              </w:tabs>
              <w:spacing w:after="60"/>
              <w:rPr>
                <w:sz w:val="20"/>
                <w:szCs w:val="20"/>
              </w:rPr>
            </w:pPr>
            <w:r w:rsidRPr="001662AA">
              <w:rPr>
                <w:sz w:val="20"/>
                <w:szCs w:val="20"/>
              </w:rPr>
              <w:t>(3) Receiver noise figure (dB)</w:t>
            </w:r>
          </w:p>
        </w:tc>
        <w:tc>
          <w:tcPr>
            <w:tcW w:w="1260" w:type="dxa"/>
            <w:tcBorders>
              <w:top w:val="single" w:sz="6" w:space="0" w:color="auto"/>
              <w:left w:val="single" w:sz="6" w:space="0" w:color="auto"/>
              <w:bottom w:val="single" w:sz="6" w:space="0" w:color="auto"/>
              <w:right w:val="single" w:sz="6" w:space="0" w:color="auto"/>
            </w:tcBorders>
            <w:vAlign w:val="center"/>
          </w:tcPr>
          <w:p w14:paraId="73131E56" w14:textId="77777777" w:rsidR="001662AA" w:rsidRPr="001662AA" w:rsidRDefault="001662AA" w:rsidP="00336E45">
            <w:pPr>
              <w:tabs>
                <w:tab w:val="left" w:pos="851"/>
              </w:tabs>
              <w:spacing w:after="60"/>
              <w:rPr>
                <w:sz w:val="20"/>
                <w:szCs w:val="20"/>
              </w:rPr>
            </w:pPr>
          </w:p>
        </w:tc>
      </w:tr>
      <w:tr w:rsidR="001662AA" w:rsidRPr="001662AA" w14:paraId="03890C33" w14:textId="77777777" w:rsidTr="00336E45">
        <w:trPr>
          <w:cantSplit/>
          <w:trHeight w:val="435"/>
          <w:jc w:val="center"/>
        </w:trPr>
        <w:tc>
          <w:tcPr>
            <w:tcW w:w="6021" w:type="dxa"/>
            <w:tcBorders>
              <w:top w:val="single" w:sz="6" w:space="0" w:color="auto"/>
              <w:left w:val="single" w:sz="6" w:space="0" w:color="auto"/>
              <w:bottom w:val="single" w:sz="6" w:space="0" w:color="auto"/>
              <w:right w:val="single" w:sz="6" w:space="0" w:color="auto"/>
            </w:tcBorders>
            <w:vAlign w:val="center"/>
          </w:tcPr>
          <w:p w14:paraId="25208393" w14:textId="77777777" w:rsidR="001662AA" w:rsidRPr="001662AA" w:rsidRDefault="001662AA" w:rsidP="00336E45">
            <w:pPr>
              <w:tabs>
                <w:tab w:val="left" w:pos="851"/>
              </w:tabs>
              <w:spacing w:after="60"/>
              <w:rPr>
                <w:sz w:val="20"/>
                <w:szCs w:val="20"/>
              </w:rPr>
            </w:pPr>
            <w:r w:rsidRPr="001662AA">
              <w:rPr>
                <w:sz w:val="20"/>
                <w:szCs w:val="20"/>
              </w:rPr>
              <w:t>(4) Interference margin (dB)</w:t>
            </w:r>
          </w:p>
        </w:tc>
        <w:tc>
          <w:tcPr>
            <w:tcW w:w="1260" w:type="dxa"/>
            <w:tcBorders>
              <w:top w:val="single" w:sz="6" w:space="0" w:color="auto"/>
              <w:left w:val="single" w:sz="6" w:space="0" w:color="auto"/>
              <w:bottom w:val="single" w:sz="6" w:space="0" w:color="auto"/>
              <w:right w:val="single" w:sz="6" w:space="0" w:color="auto"/>
            </w:tcBorders>
            <w:vAlign w:val="center"/>
          </w:tcPr>
          <w:p w14:paraId="6B6457CC" w14:textId="77777777" w:rsidR="001662AA" w:rsidRPr="001662AA" w:rsidRDefault="001662AA" w:rsidP="00336E45">
            <w:pPr>
              <w:tabs>
                <w:tab w:val="left" w:pos="851"/>
              </w:tabs>
              <w:spacing w:after="60"/>
              <w:rPr>
                <w:sz w:val="20"/>
                <w:szCs w:val="20"/>
              </w:rPr>
            </w:pPr>
          </w:p>
        </w:tc>
      </w:tr>
      <w:tr w:rsidR="001662AA" w:rsidRPr="001662AA" w14:paraId="68B58E6E" w14:textId="77777777" w:rsidTr="00336E45">
        <w:trPr>
          <w:cantSplit/>
          <w:trHeight w:val="484"/>
          <w:jc w:val="center"/>
        </w:trPr>
        <w:tc>
          <w:tcPr>
            <w:tcW w:w="6021" w:type="dxa"/>
            <w:tcBorders>
              <w:top w:val="single" w:sz="6" w:space="0" w:color="auto"/>
              <w:left w:val="single" w:sz="6" w:space="0" w:color="auto"/>
              <w:bottom w:val="single" w:sz="6" w:space="0" w:color="auto"/>
              <w:right w:val="single" w:sz="6" w:space="0" w:color="auto"/>
            </w:tcBorders>
            <w:vAlign w:val="center"/>
          </w:tcPr>
          <w:p w14:paraId="3BA5A0F9" w14:textId="77777777" w:rsidR="001662AA" w:rsidRPr="001662AA" w:rsidRDefault="001662AA" w:rsidP="00336E45">
            <w:pPr>
              <w:tabs>
                <w:tab w:val="left" w:pos="851"/>
              </w:tabs>
              <w:spacing w:after="60"/>
              <w:rPr>
                <w:sz w:val="20"/>
                <w:szCs w:val="20"/>
              </w:rPr>
            </w:pPr>
            <w:r w:rsidRPr="001662AA">
              <w:rPr>
                <w:sz w:val="20"/>
                <w:szCs w:val="20"/>
              </w:rPr>
              <w:t>(5) Occupied channel bandwidth (Hz)</w:t>
            </w:r>
          </w:p>
        </w:tc>
        <w:tc>
          <w:tcPr>
            <w:tcW w:w="1260" w:type="dxa"/>
            <w:tcBorders>
              <w:top w:val="single" w:sz="6" w:space="0" w:color="auto"/>
              <w:left w:val="single" w:sz="6" w:space="0" w:color="auto"/>
              <w:bottom w:val="single" w:sz="6" w:space="0" w:color="auto"/>
              <w:right w:val="single" w:sz="6" w:space="0" w:color="auto"/>
            </w:tcBorders>
            <w:vAlign w:val="bottom"/>
          </w:tcPr>
          <w:p w14:paraId="5C1D3CE2" w14:textId="77777777" w:rsidR="001662AA" w:rsidRPr="001662AA" w:rsidRDefault="001662AA" w:rsidP="00336E45">
            <w:pPr>
              <w:tabs>
                <w:tab w:val="left" w:pos="851"/>
              </w:tabs>
              <w:spacing w:after="60"/>
              <w:rPr>
                <w:sz w:val="20"/>
                <w:szCs w:val="20"/>
              </w:rPr>
            </w:pPr>
          </w:p>
        </w:tc>
      </w:tr>
      <w:tr w:rsidR="001662AA" w:rsidRPr="001662AA" w14:paraId="5330C51D"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1825F41F" w14:textId="77777777" w:rsidR="001662AA" w:rsidRPr="001662AA" w:rsidRDefault="001662AA" w:rsidP="00336E45">
            <w:pPr>
              <w:tabs>
                <w:tab w:val="left" w:pos="851"/>
              </w:tabs>
              <w:spacing w:after="60"/>
              <w:rPr>
                <w:sz w:val="20"/>
                <w:szCs w:val="20"/>
                <w:lang w:val="fr-FR"/>
              </w:rPr>
            </w:pPr>
            <w:r w:rsidRPr="001662AA">
              <w:rPr>
                <w:sz w:val="20"/>
                <w:szCs w:val="20"/>
                <w:lang w:val="fr-FR"/>
              </w:rPr>
              <w:t>(6) Effective noise power</w:t>
            </w:r>
          </w:p>
          <w:p w14:paraId="0312FACB" w14:textId="77777777" w:rsidR="001662AA" w:rsidRPr="001662AA" w:rsidRDefault="001662AA" w:rsidP="00336E45">
            <w:pPr>
              <w:tabs>
                <w:tab w:val="left" w:pos="851"/>
              </w:tabs>
              <w:spacing w:after="60"/>
              <w:rPr>
                <w:sz w:val="20"/>
                <w:szCs w:val="20"/>
                <w:lang w:val="fr-FR"/>
              </w:rPr>
            </w:pPr>
            <w:r w:rsidRPr="001662AA">
              <w:rPr>
                <w:sz w:val="20"/>
                <w:szCs w:val="20"/>
                <w:lang w:val="fr-FR"/>
              </w:rPr>
              <w:t xml:space="preserve">         = (2) + (3) + (4) +</w:t>
            </w:r>
            <w:r w:rsidRPr="001662AA" w:rsidDel="007D060C">
              <w:rPr>
                <w:sz w:val="20"/>
                <w:szCs w:val="20"/>
                <w:lang w:val="fr-FR"/>
              </w:rPr>
              <w:t xml:space="preserve"> </w:t>
            </w:r>
            <w:r w:rsidRPr="001662AA">
              <w:rPr>
                <w:sz w:val="20"/>
                <w:szCs w:val="20"/>
                <w:lang w:val="fr-FR"/>
              </w:rPr>
              <w:t xml:space="preserve">10 </w:t>
            </w:r>
            <w:proofErr w:type="gramStart"/>
            <w:r w:rsidRPr="001662AA">
              <w:rPr>
                <w:sz w:val="20"/>
                <w:szCs w:val="20"/>
                <w:lang w:val="fr-FR"/>
              </w:rPr>
              <w:t>log(</w:t>
            </w:r>
            <w:proofErr w:type="gramEnd"/>
            <w:r w:rsidRPr="001662AA">
              <w:rPr>
                <w:sz w:val="20"/>
                <w:szCs w:val="20"/>
                <w:lang w:val="fr-FR"/>
              </w:rPr>
              <w:t>5)  (dBm)</w:t>
            </w:r>
          </w:p>
        </w:tc>
        <w:tc>
          <w:tcPr>
            <w:tcW w:w="1260" w:type="dxa"/>
            <w:tcBorders>
              <w:top w:val="single" w:sz="6" w:space="0" w:color="auto"/>
              <w:left w:val="single" w:sz="6" w:space="0" w:color="auto"/>
              <w:bottom w:val="single" w:sz="6" w:space="0" w:color="auto"/>
              <w:right w:val="single" w:sz="6" w:space="0" w:color="auto"/>
            </w:tcBorders>
            <w:vAlign w:val="bottom"/>
          </w:tcPr>
          <w:p w14:paraId="0A2BF3B3" w14:textId="77777777" w:rsidR="001662AA" w:rsidRPr="001662AA" w:rsidRDefault="001662AA" w:rsidP="00336E45">
            <w:pPr>
              <w:tabs>
                <w:tab w:val="left" w:pos="851"/>
              </w:tabs>
              <w:spacing w:after="60"/>
              <w:rPr>
                <w:sz w:val="20"/>
                <w:szCs w:val="20"/>
                <w:lang w:val="fr-FR"/>
              </w:rPr>
            </w:pPr>
          </w:p>
        </w:tc>
      </w:tr>
      <w:tr w:rsidR="001662AA" w:rsidRPr="001662AA" w14:paraId="43450BA8"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1106C504" w14:textId="77777777" w:rsidR="001662AA" w:rsidRPr="001662AA" w:rsidRDefault="001662AA" w:rsidP="00336E45">
            <w:pPr>
              <w:tabs>
                <w:tab w:val="left" w:pos="851"/>
              </w:tabs>
              <w:spacing w:after="60"/>
              <w:rPr>
                <w:sz w:val="20"/>
                <w:szCs w:val="20"/>
              </w:rPr>
            </w:pPr>
            <w:r w:rsidRPr="001662AA">
              <w:rPr>
                <w:sz w:val="20"/>
                <w:szCs w:val="20"/>
              </w:rPr>
              <w:t>(7) Required SINR (dB)</w:t>
            </w:r>
          </w:p>
        </w:tc>
        <w:tc>
          <w:tcPr>
            <w:tcW w:w="1260" w:type="dxa"/>
            <w:tcBorders>
              <w:top w:val="single" w:sz="6" w:space="0" w:color="auto"/>
              <w:left w:val="single" w:sz="6" w:space="0" w:color="auto"/>
              <w:bottom w:val="single" w:sz="6" w:space="0" w:color="auto"/>
              <w:right w:val="single" w:sz="6" w:space="0" w:color="auto"/>
            </w:tcBorders>
            <w:vAlign w:val="bottom"/>
          </w:tcPr>
          <w:p w14:paraId="4BC0ECB0" w14:textId="77777777" w:rsidR="001662AA" w:rsidRPr="001662AA" w:rsidRDefault="001662AA" w:rsidP="00336E45">
            <w:pPr>
              <w:tabs>
                <w:tab w:val="left" w:pos="851"/>
              </w:tabs>
              <w:spacing w:after="60"/>
              <w:rPr>
                <w:sz w:val="20"/>
                <w:szCs w:val="20"/>
              </w:rPr>
            </w:pPr>
          </w:p>
        </w:tc>
      </w:tr>
      <w:tr w:rsidR="001662AA" w:rsidRPr="001662AA" w14:paraId="1E59AEE9"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4ADCFF34" w14:textId="77777777" w:rsidR="001662AA" w:rsidRPr="001662AA" w:rsidRDefault="001662AA" w:rsidP="00336E45">
            <w:pPr>
              <w:tabs>
                <w:tab w:val="left" w:pos="851"/>
              </w:tabs>
              <w:spacing w:after="60"/>
              <w:rPr>
                <w:sz w:val="20"/>
                <w:szCs w:val="20"/>
              </w:rPr>
            </w:pPr>
            <w:r w:rsidRPr="001662AA">
              <w:rPr>
                <w:b/>
                <w:bCs/>
                <w:sz w:val="20"/>
                <w:szCs w:val="20"/>
              </w:rPr>
              <w:t>(8)</w:t>
            </w:r>
            <w:r w:rsidRPr="001662AA">
              <w:rPr>
                <w:sz w:val="20"/>
                <w:szCs w:val="20"/>
              </w:rPr>
              <w:t xml:space="preserve"> </w:t>
            </w:r>
            <w:r w:rsidRPr="001662AA">
              <w:rPr>
                <w:b/>
                <w:bCs/>
                <w:sz w:val="20"/>
                <w:szCs w:val="20"/>
              </w:rPr>
              <w:t>Receiver sensitivity</w:t>
            </w:r>
          </w:p>
          <w:p w14:paraId="1B373932" w14:textId="77777777" w:rsidR="001662AA" w:rsidRPr="001662AA" w:rsidRDefault="001662AA" w:rsidP="00336E45">
            <w:pPr>
              <w:tabs>
                <w:tab w:val="left" w:pos="851"/>
              </w:tabs>
              <w:spacing w:after="60"/>
              <w:rPr>
                <w:sz w:val="20"/>
                <w:szCs w:val="20"/>
              </w:rPr>
            </w:pPr>
            <w:r w:rsidRPr="001662AA">
              <w:rPr>
                <w:sz w:val="20"/>
                <w:szCs w:val="20"/>
              </w:rPr>
              <w:t xml:space="preserve">         = (6) + (7) (dBm)</w:t>
            </w:r>
          </w:p>
        </w:tc>
        <w:tc>
          <w:tcPr>
            <w:tcW w:w="1260" w:type="dxa"/>
            <w:tcBorders>
              <w:top w:val="single" w:sz="6" w:space="0" w:color="auto"/>
              <w:left w:val="single" w:sz="6" w:space="0" w:color="auto"/>
              <w:bottom w:val="single" w:sz="6" w:space="0" w:color="auto"/>
              <w:right w:val="single" w:sz="6" w:space="0" w:color="auto"/>
            </w:tcBorders>
            <w:vAlign w:val="bottom"/>
          </w:tcPr>
          <w:p w14:paraId="3099FBB2" w14:textId="77777777" w:rsidR="001662AA" w:rsidRPr="001662AA" w:rsidRDefault="001662AA" w:rsidP="00336E45">
            <w:pPr>
              <w:tabs>
                <w:tab w:val="left" w:pos="851"/>
              </w:tabs>
              <w:spacing w:after="60"/>
              <w:rPr>
                <w:sz w:val="20"/>
                <w:szCs w:val="20"/>
              </w:rPr>
            </w:pPr>
          </w:p>
        </w:tc>
      </w:tr>
      <w:tr w:rsidR="001662AA" w:rsidRPr="001662AA" w14:paraId="40F13B7D" w14:textId="77777777" w:rsidTr="00336E45">
        <w:trPr>
          <w:cantSplit/>
          <w:jc w:val="center"/>
        </w:trPr>
        <w:tc>
          <w:tcPr>
            <w:tcW w:w="6021" w:type="dxa"/>
            <w:tcBorders>
              <w:top w:val="single" w:sz="6" w:space="0" w:color="auto"/>
              <w:left w:val="single" w:sz="6" w:space="0" w:color="auto"/>
              <w:bottom w:val="single" w:sz="6" w:space="0" w:color="auto"/>
              <w:right w:val="single" w:sz="6" w:space="0" w:color="auto"/>
            </w:tcBorders>
            <w:vAlign w:val="center"/>
          </w:tcPr>
          <w:p w14:paraId="7197F2EA" w14:textId="77777777" w:rsidR="001662AA" w:rsidRPr="001662AA" w:rsidRDefault="001662AA" w:rsidP="00336E45">
            <w:pPr>
              <w:tabs>
                <w:tab w:val="left" w:pos="851"/>
              </w:tabs>
              <w:spacing w:after="60"/>
              <w:rPr>
                <w:sz w:val="20"/>
                <w:szCs w:val="20"/>
              </w:rPr>
            </w:pPr>
            <w:r w:rsidRPr="001662AA">
              <w:rPr>
                <w:b/>
                <w:bCs/>
                <w:sz w:val="20"/>
                <w:szCs w:val="20"/>
              </w:rPr>
              <w:t>(9)</w:t>
            </w:r>
            <w:r w:rsidRPr="001662AA">
              <w:rPr>
                <w:sz w:val="20"/>
                <w:szCs w:val="20"/>
              </w:rPr>
              <w:t xml:space="preserve"> </w:t>
            </w:r>
            <w:r w:rsidRPr="001662AA">
              <w:rPr>
                <w:b/>
                <w:bCs/>
                <w:sz w:val="20"/>
                <w:szCs w:val="20"/>
              </w:rPr>
              <w:t>MCL</w:t>
            </w:r>
            <w:r w:rsidRPr="001662AA">
              <w:rPr>
                <w:sz w:val="20"/>
                <w:szCs w:val="20"/>
              </w:rPr>
              <w:t xml:space="preserve"> </w:t>
            </w:r>
          </w:p>
          <w:p w14:paraId="6D4EE5C7" w14:textId="77777777" w:rsidR="001662AA" w:rsidRPr="001662AA" w:rsidRDefault="001662AA" w:rsidP="00336E45">
            <w:pPr>
              <w:tabs>
                <w:tab w:val="left" w:pos="851"/>
              </w:tabs>
              <w:spacing w:after="60"/>
              <w:rPr>
                <w:sz w:val="20"/>
                <w:szCs w:val="20"/>
              </w:rPr>
            </w:pPr>
            <w:r w:rsidRPr="001662AA">
              <w:rPr>
                <w:sz w:val="20"/>
                <w:szCs w:val="20"/>
              </w:rPr>
              <w:t xml:space="preserve">         = (1) </w:t>
            </w:r>
            <w:r w:rsidRPr="001662AA">
              <w:rPr>
                <w:sz w:val="20"/>
                <w:szCs w:val="20"/>
              </w:rPr>
              <w:sym w:font="Symbol" w:char="F02D"/>
            </w:r>
            <w:r w:rsidRPr="001662AA">
              <w:rPr>
                <w:sz w:val="20"/>
                <w:szCs w:val="20"/>
              </w:rPr>
              <w:t xml:space="preserve"> (8) (dB)</w:t>
            </w:r>
          </w:p>
        </w:tc>
        <w:tc>
          <w:tcPr>
            <w:tcW w:w="1260" w:type="dxa"/>
            <w:tcBorders>
              <w:top w:val="single" w:sz="6" w:space="0" w:color="auto"/>
              <w:left w:val="single" w:sz="6" w:space="0" w:color="auto"/>
              <w:bottom w:val="single" w:sz="6" w:space="0" w:color="auto"/>
              <w:right w:val="single" w:sz="6" w:space="0" w:color="auto"/>
            </w:tcBorders>
            <w:vAlign w:val="bottom"/>
          </w:tcPr>
          <w:p w14:paraId="06D1FD5B" w14:textId="77777777" w:rsidR="001662AA" w:rsidRPr="001662AA" w:rsidRDefault="001662AA" w:rsidP="00336E45">
            <w:pPr>
              <w:tabs>
                <w:tab w:val="left" w:pos="851"/>
              </w:tabs>
              <w:spacing w:after="60"/>
              <w:rPr>
                <w:sz w:val="20"/>
                <w:szCs w:val="20"/>
              </w:rPr>
            </w:pPr>
          </w:p>
        </w:tc>
      </w:tr>
    </w:tbl>
    <w:p w14:paraId="398AE02E" w14:textId="1138E845" w:rsidR="001662AA" w:rsidRDefault="001662AA" w:rsidP="001D336D">
      <w:pPr>
        <w:overflowPunct w:val="0"/>
        <w:autoSpaceDE w:val="0"/>
        <w:autoSpaceDN w:val="0"/>
        <w:adjustRightInd w:val="0"/>
        <w:textAlignment w:val="baseline"/>
        <w:rPr>
          <w:sz w:val="20"/>
          <w:szCs w:val="20"/>
          <w:lang w:val="en-US"/>
        </w:rPr>
      </w:pPr>
    </w:p>
    <w:p w14:paraId="4F334E7F" w14:textId="1B70FB73" w:rsidR="001D336D" w:rsidRPr="00DC1CAF" w:rsidRDefault="001D336D" w:rsidP="00DC1CAF">
      <w:pPr>
        <w:overflowPunct w:val="0"/>
        <w:autoSpaceDE w:val="0"/>
        <w:autoSpaceDN w:val="0"/>
        <w:adjustRightInd w:val="0"/>
        <w:jc w:val="both"/>
        <w:textAlignment w:val="baseline"/>
        <w:rPr>
          <w:rFonts w:eastAsia="MS Mincho"/>
          <w:sz w:val="20"/>
          <w:szCs w:val="20"/>
          <w:lang w:val="en-US" w:eastAsia="ja-JP"/>
        </w:rPr>
      </w:pPr>
      <w:r>
        <w:rPr>
          <w:sz w:val="20"/>
          <w:szCs w:val="20"/>
          <w:lang w:val="en-US"/>
        </w:rPr>
        <w:t xml:space="preserve">For the detailed link level simulation assumption, the following </w:t>
      </w:r>
      <w:r w:rsidR="00797CA1">
        <w:rPr>
          <w:sz w:val="20"/>
          <w:szCs w:val="20"/>
          <w:lang w:val="en-US"/>
        </w:rPr>
        <w:t xml:space="preserve">common </w:t>
      </w:r>
      <w:r>
        <w:rPr>
          <w:sz w:val="20"/>
          <w:szCs w:val="20"/>
          <w:lang w:val="en-US"/>
        </w:rPr>
        <w:t>simulation parameters can be considered in the evaluation.</w:t>
      </w:r>
      <w:r w:rsidR="00797CA1">
        <w:rPr>
          <w:sz w:val="20"/>
          <w:szCs w:val="20"/>
          <w:lang w:val="en-US"/>
        </w:rPr>
        <w:t xml:space="preserve"> In addition,</w:t>
      </w:r>
      <w:r w:rsidR="00797CA1">
        <w:rPr>
          <w:rFonts w:eastAsia="MS Mincho"/>
          <w:sz w:val="20"/>
          <w:szCs w:val="20"/>
          <w:lang w:val="en-US" w:eastAsia="ja-JP"/>
        </w:rPr>
        <w:t xml:space="preserve"> some channel specific parameters would be required, such as probability of missed detection, probability of false alarm for PRACH and PUCCH evaluation.</w:t>
      </w:r>
    </w:p>
    <w:p w14:paraId="35929165" w14:textId="52E0A03D" w:rsidR="001662AA" w:rsidRPr="001662AA" w:rsidRDefault="001662AA" w:rsidP="00CC05A7">
      <w:pPr>
        <w:overflowPunct w:val="0"/>
        <w:autoSpaceDE w:val="0"/>
        <w:autoSpaceDN w:val="0"/>
        <w:adjustRightInd w:val="0"/>
        <w:jc w:val="center"/>
        <w:textAlignment w:val="baseline"/>
        <w:rPr>
          <w:sz w:val="20"/>
          <w:szCs w:val="20"/>
          <w:lang w:val="en-US"/>
        </w:rPr>
      </w:pPr>
    </w:p>
    <w:p w14:paraId="7B23F21C" w14:textId="6E1A2FDB" w:rsidR="001662AA" w:rsidRPr="00CC05A7" w:rsidRDefault="001662AA" w:rsidP="00CC05A7">
      <w:pPr>
        <w:overflowPunct w:val="0"/>
        <w:autoSpaceDE w:val="0"/>
        <w:autoSpaceDN w:val="0"/>
        <w:adjustRightInd w:val="0"/>
        <w:jc w:val="center"/>
        <w:textAlignment w:val="baseline"/>
        <w:rPr>
          <w:rFonts w:eastAsia="MS Mincho"/>
          <w:sz w:val="20"/>
          <w:szCs w:val="20"/>
          <w:lang w:val="en-US" w:eastAsia="ja-JP"/>
        </w:rPr>
      </w:pPr>
      <w:r>
        <w:rPr>
          <w:sz w:val="20"/>
          <w:szCs w:val="20"/>
          <w:lang w:val="en-US"/>
        </w:rPr>
        <w:t xml:space="preserve">Table 2: </w:t>
      </w:r>
      <w:r w:rsidR="00EE389D">
        <w:rPr>
          <w:sz w:val="20"/>
          <w:szCs w:val="20"/>
          <w:lang w:val="en-US"/>
        </w:rPr>
        <w:t xml:space="preserve">the common </w:t>
      </w:r>
      <w:r>
        <w:rPr>
          <w:sz w:val="20"/>
          <w:szCs w:val="20"/>
          <w:lang w:val="en-US"/>
        </w:rPr>
        <w:t>link level simulation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5"/>
        <w:gridCol w:w="3740"/>
      </w:tblGrid>
      <w:tr w:rsidR="00D85078" w:rsidRPr="00CC05A7" w14:paraId="78BF9552" w14:textId="77777777" w:rsidTr="00D85078">
        <w:trPr>
          <w:jc w:val="center"/>
        </w:trPr>
        <w:tc>
          <w:tcPr>
            <w:tcW w:w="2585" w:type="dxa"/>
            <w:shd w:val="clear" w:color="auto" w:fill="auto"/>
          </w:tcPr>
          <w:p w14:paraId="19C750E2" w14:textId="77777777" w:rsidR="00D85078" w:rsidRPr="00CC05A7" w:rsidRDefault="00D85078" w:rsidP="00336E45">
            <w:pPr>
              <w:rPr>
                <w:b/>
                <w:sz w:val="20"/>
                <w:szCs w:val="20"/>
              </w:rPr>
            </w:pPr>
            <w:r w:rsidRPr="00CC05A7">
              <w:rPr>
                <w:b/>
                <w:sz w:val="20"/>
                <w:szCs w:val="20"/>
              </w:rPr>
              <w:t>Parameters</w:t>
            </w:r>
          </w:p>
        </w:tc>
        <w:tc>
          <w:tcPr>
            <w:tcW w:w="3740" w:type="dxa"/>
            <w:shd w:val="clear" w:color="auto" w:fill="auto"/>
          </w:tcPr>
          <w:p w14:paraId="0E76A5B4" w14:textId="06CDC5CD" w:rsidR="00D85078" w:rsidRPr="00CC05A7" w:rsidRDefault="00D85078" w:rsidP="00336E45">
            <w:pPr>
              <w:rPr>
                <w:b/>
                <w:sz w:val="20"/>
                <w:szCs w:val="20"/>
                <w:lang w:val="en-US"/>
              </w:rPr>
            </w:pPr>
            <w:r w:rsidRPr="00CC05A7">
              <w:rPr>
                <w:b/>
                <w:sz w:val="20"/>
                <w:szCs w:val="20"/>
                <w:lang w:val="en-US"/>
              </w:rPr>
              <w:t>NR</w:t>
            </w:r>
          </w:p>
        </w:tc>
      </w:tr>
      <w:tr w:rsidR="00D85078" w:rsidRPr="00CC05A7" w14:paraId="54689AE0" w14:textId="77777777" w:rsidTr="00D85078">
        <w:trPr>
          <w:jc w:val="center"/>
        </w:trPr>
        <w:tc>
          <w:tcPr>
            <w:tcW w:w="2585" w:type="dxa"/>
            <w:shd w:val="clear" w:color="auto" w:fill="auto"/>
          </w:tcPr>
          <w:p w14:paraId="68D06E10" w14:textId="75153C89" w:rsidR="00D85078" w:rsidRPr="0069426D" w:rsidRDefault="0069426D" w:rsidP="00336E45">
            <w:pPr>
              <w:rPr>
                <w:sz w:val="20"/>
                <w:szCs w:val="20"/>
                <w:lang w:val="en-US"/>
              </w:rPr>
            </w:pPr>
            <w:r>
              <w:rPr>
                <w:sz w:val="20"/>
                <w:szCs w:val="20"/>
                <w:lang w:val="en-US"/>
              </w:rPr>
              <w:t>Carrier frequency</w:t>
            </w:r>
          </w:p>
        </w:tc>
        <w:tc>
          <w:tcPr>
            <w:tcW w:w="3740" w:type="dxa"/>
            <w:shd w:val="clear" w:color="auto" w:fill="auto"/>
          </w:tcPr>
          <w:p w14:paraId="733F09D1" w14:textId="68CEFD6B" w:rsidR="00D85078" w:rsidRPr="0069426D" w:rsidRDefault="00CD317A" w:rsidP="0069426D">
            <w:pPr>
              <w:widowControl w:val="0"/>
              <w:rPr>
                <w:sz w:val="20"/>
                <w:szCs w:val="20"/>
                <w:lang w:val="en-US"/>
              </w:rPr>
            </w:pPr>
            <w:r>
              <w:rPr>
                <w:sz w:val="20"/>
                <w:szCs w:val="20"/>
                <w:lang w:val="en-US"/>
              </w:rPr>
              <w:t>4</w:t>
            </w:r>
            <w:r w:rsidR="0069426D">
              <w:rPr>
                <w:sz w:val="20"/>
                <w:szCs w:val="20"/>
                <w:lang w:val="en-US"/>
              </w:rPr>
              <w:t>GHz</w:t>
            </w:r>
          </w:p>
        </w:tc>
      </w:tr>
      <w:tr w:rsidR="00D85078" w:rsidRPr="00CC05A7" w14:paraId="61AB0B46" w14:textId="77777777" w:rsidTr="00D85078">
        <w:trPr>
          <w:jc w:val="center"/>
        </w:trPr>
        <w:tc>
          <w:tcPr>
            <w:tcW w:w="2585" w:type="dxa"/>
            <w:shd w:val="clear" w:color="auto" w:fill="auto"/>
          </w:tcPr>
          <w:p w14:paraId="4C0A5845" w14:textId="2EA0204B" w:rsidR="00D85078" w:rsidRPr="0069426D" w:rsidRDefault="0069426D" w:rsidP="00336E45">
            <w:pPr>
              <w:rPr>
                <w:sz w:val="20"/>
                <w:szCs w:val="20"/>
                <w:lang w:val="en-US"/>
              </w:rPr>
            </w:pPr>
            <w:r>
              <w:rPr>
                <w:sz w:val="20"/>
                <w:szCs w:val="20"/>
                <w:lang w:val="en-US"/>
              </w:rPr>
              <w:t>Wavefo</w:t>
            </w:r>
            <w:r w:rsidR="00C058FE">
              <w:rPr>
                <w:sz w:val="20"/>
                <w:szCs w:val="20"/>
                <w:lang w:val="en-US"/>
              </w:rPr>
              <w:t>r</w:t>
            </w:r>
            <w:r>
              <w:rPr>
                <w:sz w:val="20"/>
                <w:szCs w:val="20"/>
                <w:lang w:val="en-US"/>
              </w:rPr>
              <w:t>m</w:t>
            </w:r>
          </w:p>
        </w:tc>
        <w:tc>
          <w:tcPr>
            <w:tcW w:w="3740" w:type="dxa"/>
            <w:shd w:val="clear" w:color="auto" w:fill="auto"/>
          </w:tcPr>
          <w:p w14:paraId="36635443" w14:textId="1B1E7A9B" w:rsidR="00D96403" w:rsidRDefault="00D96403" w:rsidP="00336E45">
            <w:pPr>
              <w:rPr>
                <w:sz w:val="20"/>
                <w:szCs w:val="20"/>
                <w:lang w:val="en-US"/>
              </w:rPr>
            </w:pPr>
            <w:r>
              <w:rPr>
                <w:sz w:val="20"/>
                <w:szCs w:val="20"/>
                <w:lang w:val="en-US"/>
              </w:rPr>
              <w:t>DL: CP-OFDM</w:t>
            </w:r>
          </w:p>
          <w:p w14:paraId="43E92130" w14:textId="15C43BC8" w:rsidR="00D85078" w:rsidRPr="0069426D" w:rsidRDefault="00D96403" w:rsidP="00336E45">
            <w:pPr>
              <w:rPr>
                <w:sz w:val="20"/>
                <w:szCs w:val="20"/>
                <w:lang w:val="en-US"/>
              </w:rPr>
            </w:pPr>
            <w:r>
              <w:rPr>
                <w:sz w:val="20"/>
                <w:szCs w:val="20"/>
                <w:lang w:val="en-US"/>
              </w:rPr>
              <w:t xml:space="preserve">UL: </w:t>
            </w:r>
            <w:r w:rsidR="0069426D">
              <w:rPr>
                <w:sz w:val="20"/>
                <w:szCs w:val="20"/>
                <w:lang w:val="en-US"/>
              </w:rPr>
              <w:t>CP-OFDM as the starting point</w:t>
            </w:r>
          </w:p>
        </w:tc>
      </w:tr>
      <w:tr w:rsidR="00D85078" w:rsidRPr="00CC05A7" w14:paraId="076D652D" w14:textId="77777777" w:rsidTr="00D85078">
        <w:trPr>
          <w:jc w:val="center"/>
        </w:trPr>
        <w:tc>
          <w:tcPr>
            <w:tcW w:w="2585" w:type="dxa"/>
            <w:shd w:val="clear" w:color="auto" w:fill="auto"/>
          </w:tcPr>
          <w:p w14:paraId="79DC584A" w14:textId="0E7C4FC7" w:rsidR="00D85078" w:rsidRPr="0069426D" w:rsidRDefault="0069426D" w:rsidP="00336E45">
            <w:pPr>
              <w:rPr>
                <w:sz w:val="20"/>
                <w:szCs w:val="20"/>
                <w:lang w:val="en-US"/>
              </w:rPr>
            </w:pPr>
            <w:r>
              <w:rPr>
                <w:sz w:val="20"/>
                <w:szCs w:val="20"/>
                <w:lang w:val="en-US"/>
              </w:rPr>
              <w:t>Numerology</w:t>
            </w:r>
          </w:p>
        </w:tc>
        <w:tc>
          <w:tcPr>
            <w:tcW w:w="3740" w:type="dxa"/>
            <w:shd w:val="clear" w:color="auto" w:fill="auto"/>
          </w:tcPr>
          <w:p w14:paraId="15340340" w14:textId="7CB4E4F3" w:rsidR="00D85078" w:rsidRPr="0069426D" w:rsidRDefault="0069426D" w:rsidP="00336E45">
            <w:pPr>
              <w:rPr>
                <w:sz w:val="20"/>
                <w:szCs w:val="20"/>
                <w:lang w:val="en-US"/>
              </w:rPr>
            </w:pPr>
            <w:r>
              <w:rPr>
                <w:sz w:val="20"/>
                <w:szCs w:val="20"/>
                <w:lang w:val="en-US"/>
              </w:rPr>
              <w:t>15kHz</w:t>
            </w:r>
          </w:p>
        </w:tc>
      </w:tr>
      <w:tr w:rsidR="002B0BC7" w:rsidRPr="00CC05A7" w14:paraId="4BADDD8F" w14:textId="77777777" w:rsidTr="00D85078">
        <w:trPr>
          <w:jc w:val="center"/>
        </w:trPr>
        <w:tc>
          <w:tcPr>
            <w:tcW w:w="2585" w:type="dxa"/>
            <w:shd w:val="clear" w:color="auto" w:fill="auto"/>
          </w:tcPr>
          <w:p w14:paraId="0ACF284C" w14:textId="5BB9C95B" w:rsidR="002B0BC7" w:rsidRPr="002B0BC7" w:rsidRDefault="002B0BC7" w:rsidP="002B0BC7">
            <w:pPr>
              <w:rPr>
                <w:sz w:val="20"/>
                <w:szCs w:val="20"/>
              </w:rPr>
            </w:pPr>
            <w:r w:rsidRPr="002B0BC7">
              <w:rPr>
                <w:sz w:val="20"/>
                <w:szCs w:val="20"/>
              </w:rPr>
              <w:t>Services and bit rates</w:t>
            </w:r>
          </w:p>
        </w:tc>
        <w:tc>
          <w:tcPr>
            <w:tcW w:w="3740" w:type="dxa"/>
            <w:shd w:val="clear" w:color="auto" w:fill="auto"/>
          </w:tcPr>
          <w:p w14:paraId="042AA849" w14:textId="0C422238" w:rsidR="002B0BC7" w:rsidRPr="004F53E8" w:rsidRDefault="002B0BC7" w:rsidP="002B0BC7">
            <w:pPr>
              <w:widowControl w:val="0"/>
              <w:jc w:val="both"/>
              <w:rPr>
                <w:sz w:val="20"/>
                <w:szCs w:val="20"/>
              </w:rPr>
            </w:pPr>
            <w:r w:rsidRPr="004F53E8">
              <w:rPr>
                <w:sz w:val="20"/>
                <w:szCs w:val="20"/>
              </w:rPr>
              <w:t>VoIP</w:t>
            </w:r>
            <w:r w:rsidR="004F53E8">
              <w:rPr>
                <w:sz w:val="20"/>
                <w:szCs w:val="20"/>
                <w:lang w:val="en-US"/>
              </w:rPr>
              <w:t xml:space="preserve">: </w:t>
            </w:r>
            <w:r w:rsidRPr="004F53E8">
              <w:rPr>
                <w:sz w:val="20"/>
                <w:szCs w:val="20"/>
              </w:rPr>
              <w:t>DL 12.2 kbps, UL 12.2 kbps</w:t>
            </w:r>
          </w:p>
          <w:p w14:paraId="5E60C04E" w14:textId="77777777" w:rsidR="002B0BC7" w:rsidRDefault="004F53E8" w:rsidP="002B0BC7">
            <w:pPr>
              <w:rPr>
                <w:sz w:val="20"/>
                <w:szCs w:val="20"/>
              </w:rPr>
            </w:pPr>
            <w:r>
              <w:rPr>
                <w:sz w:val="20"/>
                <w:szCs w:val="20"/>
              </w:rPr>
              <w:t>U</w:t>
            </w:r>
            <w:r>
              <w:rPr>
                <w:sz w:val="20"/>
                <w:szCs w:val="20"/>
                <w:lang w:val="en-US"/>
              </w:rPr>
              <w:t>band</w:t>
            </w:r>
            <w:r w:rsidR="002B0BC7" w:rsidRPr="004F53E8">
              <w:rPr>
                <w:sz w:val="20"/>
                <w:szCs w:val="20"/>
              </w:rPr>
              <w:t>:</w:t>
            </w:r>
            <w:r>
              <w:rPr>
                <w:sz w:val="20"/>
                <w:szCs w:val="20"/>
              </w:rPr>
              <w:t xml:space="preserve"> </w:t>
            </w:r>
            <w:r w:rsidR="002B0BC7" w:rsidRPr="004F53E8">
              <w:rPr>
                <w:sz w:val="20"/>
                <w:szCs w:val="20"/>
              </w:rPr>
              <w:t>DL 1</w:t>
            </w:r>
            <w:r>
              <w:rPr>
                <w:sz w:val="20"/>
                <w:szCs w:val="20"/>
                <w:lang w:val="en-US"/>
              </w:rPr>
              <w:t>0</w:t>
            </w:r>
            <w:r w:rsidR="002B0BC7" w:rsidRPr="004F53E8">
              <w:rPr>
                <w:sz w:val="20"/>
                <w:szCs w:val="20"/>
              </w:rPr>
              <w:t xml:space="preserve">Mbps, UL </w:t>
            </w:r>
            <w:r>
              <w:rPr>
                <w:sz w:val="20"/>
                <w:szCs w:val="20"/>
                <w:lang w:val="en-US"/>
              </w:rPr>
              <w:t>1M</w:t>
            </w:r>
            <w:r w:rsidR="002B0BC7" w:rsidRPr="004F53E8">
              <w:rPr>
                <w:sz w:val="20"/>
                <w:szCs w:val="20"/>
              </w:rPr>
              <w:t>bps</w:t>
            </w:r>
          </w:p>
          <w:p w14:paraId="4849A0E2" w14:textId="3CE5A898" w:rsidR="004F53E8" w:rsidRPr="004F53E8" w:rsidRDefault="004F53E8" w:rsidP="002B0BC7">
            <w:pPr>
              <w:rPr>
                <w:sz w:val="20"/>
                <w:szCs w:val="20"/>
                <w:lang w:val="en-US"/>
              </w:rPr>
            </w:pPr>
            <w:r>
              <w:rPr>
                <w:sz w:val="20"/>
                <w:szCs w:val="20"/>
                <w:lang w:val="en-US"/>
              </w:rPr>
              <w:t>Rural: DL 1Mbps, UL 100kbps</w:t>
            </w:r>
          </w:p>
        </w:tc>
      </w:tr>
      <w:tr w:rsidR="002B0BC7" w:rsidRPr="00CC05A7" w14:paraId="5AE2AA20" w14:textId="77777777" w:rsidTr="00D85078">
        <w:trPr>
          <w:jc w:val="center"/>
        </w:trPr>
        <w:tc>
          <w:tcPr>
            <w:tcW w:w="2585" w:type="dxa"/>
            <w:shd w:val="clear" w:color="auto" w:fill="auto"/>
          </w:tcPr>
          <w:p w14:paraId="6819A085" w14:textId="1A8B0C3F" w:rsidR="002B0BC7" w:rsidRPr="00CC05A7" w:rsidRDefault="002B0BC7" w:rsidP="002B0BC7">
            <w:pPr>
              <w:rPr>
                <w:sz w:val="20"/>
                <w:szCs w:val="20"/>
              </w:rPr>
            </w:pPr>
            <w:r>
              <w:rPr>
                <w:sz w:val="20"/>
                <w:szCs w:val="20"/>
                <w:lang w:val="en-US"/>
              </w:rPr>
              <w:t>Channel</w:t>
            </w:r>
            <w:r w:rsidRPr="00CC05A7">
              <w:rPr>
                <w:sz w:val="20"/>
                <w:szCs w:val="20"/>
              </w:rPr>
              <w:t xml:space="preserve"> bandwidth</w:t>
            </w:r>
          </w:p>
        </w:tc>
        <w:tc>
          <w:tcPr>
            <w:tcW w:w="3740" w:type="dxa"/>
            <w:shd w:val="clear" w:color="auto" w:fill="auto"/>
          </w:tcPr>
          <w:p w14:paraId="60453A83" w14:textId="4982931A" w:rsidR="002B0BC7" w:rsidRPr="00CC05A7" w:rsidRDefault="002B0BC7" w:rsidP="002B0BC7">
            <w:pPr>
              <w:widowControl w:val="0"/>
              <w:jc w:val="both"/>
              <w:rPr>
                <w:sz w:val="20"/>
                <w:szCs w:val="20"/>
              </w:rPr>
            </w:pPr>
            <w:r w:rsidRPr="00CC05A7">
              <w:rPr>
                <w:sz w:val="20"/>
                <w:szCs w:val="20"/>
              </w:rPr>
              <w:t>20 MHz</w:t>
            </w:r>
          </w:p>
        </w:tc>
      </w:tr>
      <w:tr w:rsidR="002B0BC7" w:rsidRPr="00CC05A7" w14:paraId="43EDEC68" w14:textId="77777777" w:rsidTr="00D85078">
        <w:trPr>
          <w:jc w:val="center"/>
        </w:trPr>
        <w:tc>
          <w:tcPr>
            <w:tcW w:w="2585" w:type="dxa"/>
            <w:shd w:val="clear" w:color="auto" w:fill="auto"/>
          </w:tcPr>
          <w:p w14:paraId="44A5751A" w14:textId="77DC894C" w:rsidR="002B0BC7" w:rsidRPr="00CD317A" w:rsidRDefault="002B0BC7" w:rsidP="002B0BC7">
            <w:pPr>
              <w:rPr>
                <w:sz w:val="20"/>
                <w:szCs w:val="20"/>
                <w:lang w:val="en-US"/>
              </w:rPr>
            </w:pPr>
            <w:r>
              <w:rPr>
                <w:sz w:val="20"/>
                <w:szCs w:val="20"/>
                <w:lang w:val="en-US"/>
              </w:rPr>
              <w:t>Target BELR</w:t>
            </w:r>
          </w:p>
        </w:tc>
        <w:tc>
          <w:tcPr>
            <w:tcW w:w="3740" w:type="dxa"/>
            <w:shd w:val="clear" w:color="auto" w:fill="auto"/>
          </w:tcPr>
          <w:p w14:paraId="1A8A3A5E" w14:textId="64ADBA9A" w:rsidR="002B0BC7" w:rsidRPr="00CD317A" w:rsidRDefault="002B0BC7" w:rsidP="002B0BC7">
            <w:pPr>
              <w:rPr>
                <w:sz w:val="20"/>
                <w:szCs w:val="20"/>
                <w:lang w:val="en-US"/>
              </w:rPr>
            </w:pPr>
            <w:r>
              <w:rPr>
                <w:sz w:val="20"/>
                <w:szCs w:val="20"/>
                <w:lang w:val="en-US"/>
              </w:rPr>
              <w:t>Up to evaluated channel</w:t>
            </w:r>
          </w:p>
        </w:tc>
      </w:tr>
      <w:tr w:rsidR="002B0BC7" w:rsidRPr="00CC05A7" w14:paraId="650DB325" w14:textId="77777777" w:rsidTr="00D85078">
        <w:trPr>
          <w:jc w:val="center"/>
        </w:trPr>
        <w:tc>
          <w:tcPr>
            <w:tcW w:w="2585" w:type="dxa"/>
            <w:shd w:val="clear" w:color="auto" w:fill="auto"/>
          </w:tcPr>
          <w:p w14:paraId="19933DD5" w14:textId="079D3D90" w:rsidR="002B0BC7" w:rsidRPr="00D96403" w:rsidRDefault="00D96403" w:rsidP="002B0BC7">
            <w:pPr>
              <w:rPr>
                <w:sz w:val="20"/>
                <w:szCs w:val="20"/>
                <w:lang w:val="en-US"/>
              </w:rPr>
            </w:pPr>
            <w:r>
              <w:rPr>
                <w:sz w:val="20"/>
                <w:szCs w:val="20"/>
                <w:lang w:val="en-US"/>
              </w:rPr>
              <w:t>DMRS overhead</w:t>
            </w:r>
          </w:p>
        </w:tc>
        <w:tc>
          <w:tcPr>
            <w:tcW w:w="3740" w:type="dxa"/>
            <w:shd w:val="clear" w:color="auto" w:fill="auto"/>
          </w:tcPr>
          <w:p w14:paraId="40B7C502" w14:textId="351B0AED" w:rsidR="002B0BC7" w:rsidRPr="005C2A15" w:rsidRDefault="005C2A15" w:rsidP="002B0BC7">
            <w:pPr>
              <w:keepNext/>
              <w:rPr>
                <w:sz w:val="20"/>
                <w:szCs w:val="20"/>
                <w:lang w:val="en-US"/>
              </w:rPr>
            </w:pPr>
            <w:r>
              <w:rPr>
                <w:sz w:val="20"/>
                <w:szCs w:val="20"/>
                <w:lang w:val="en-US"/>
              </w:rPr>
              <w:t>Rel.15 NR DMRS</w:t>
            </w:r>
          </w:p>
        </w:tc>
      </w:tr>
      <w:tr w:rsidR="002B0BC7" w:rsidRPr="00CC05A7" w14:paraId="5CC79D78" w14:textId="77777777" w:rsidTr="00D85078">
        <w:trPr>
          <w:jc w:val="center"/>
        </w:trPr>
        <w:tc>
          <w:tcPr>
            <w:tcW w:w="2585" w:type="dxa"/>
            <w:shd w:val="clear" w:color="auto" w:fill="auto"/>
          </w:tcPr>
          <w:p w14:paraId="599E6EFA" w14:textId="485DDA9C" w:rsidR="002B0BC7" w:rsidRPr="00CC05A7" w:rsidRDefault="002B0BC7" w:rsidP="002B0BC7">
            <w:pPr>
              <w:rPr>
                <w:sz w:val="20"/>
                <w:szCs w:val="20"/>
              </w:rPr>
            </w:pPr>
            <w:r w:rsidRPr="00CC05A7">
              <w:rPr>
                <w:sz w:val="20"/>
                <w:szCs w:val="20"/>
              </w:rPr>
              <w:t>Antenna configuration eNB</w:t>
            </w:r>
          </w:p>
        </w:tc>
        <w:tc>
          <w:tcPr>
            <w:tcW w:w="3740" w:type="dxa"/>
            <w:shd w:val="clear" w:color="auto" w:fill="auto"/>
          </w:tcPr>
          <w:p w14:paraId="2E14532C" w14:textId="49765BCF" w:rsidR="002B0BC7" w:rsidRPr="00CC05A7" w:rsidRDefault="002B0BC7" w:rsidP="002B0BC7">
            <w:pPr>
              <w:widowControl w:val="0"/>
              <w:jc w:val="both"/>
              <w:rPr>
                <w:sz w:val="20"/>
                <w:szCs w:val="20"/>
              </w:rPr>
            </w:pPr>
            <w:r w:rsidRPr="00CC05A7">
              <w:rPr>
                <w:sz w:val="20"/>
                <w:szCs w:val="20"/>
                <w:lang w:val="en-US"/>
              </w:rPr>
              <w:t>8</w:t>
            </w:r>
            <w:r w:rsidRPr="00CC05A7">
              <w:rPr>
                <w:sz w:val="20"/>
                <w:szCs w:val="20"/>
              </w:rPr>
              <w:t xml:space="preserve">tx, </w:t>
            </w:r>
            <w:r w:rsidRPr="00CC05A7">
              <w:rPr>
                <w:sz w:val="20"/>
                <w:szCs w:val="20"/>
                <w:lang w:val="en-US"/>
              </w:rPr>
              <w:t>8</w:t>
            </w:r>
            <w:r w:rsidRPr="00CC05A7">
              <w:rPr>
                <w:sz w:val="20"/>
                <w:szCs w:val="20"/>
              </w:rPr>
              <w:t xml:space="preserve">rx </w:t>
            </w:r>
          </w:p>
        </w:tc>
      </w:tr>
      <w:tr w:rsidR="002B0BC7" w:rsidRPr="00CC05A7" w14:paraId="3BDC7C5E" w14:textId="77777777" w:rsidTr="00D85078">
        <w:trPr>
          <w:jc w:val="center"/>
        </w:trPr>
        <w:tc>
          <w:tcPr>
            <w:tcW w:w="2585" w:type="dxa"/>
            <w:shd w:val="clear" w:color="auto" w:fill="auto"/>
          </w:tcPr>
          <w:p w14:paraId="70F0E04E" w14:textId="053C59A0" w:rsidR="002B0BC7" w:rsidRPr="00CC05A7" w:rsidRDefault="002B0BC7" w:rsidP="002B0BC7">
            <w:pPr>
              <w:rPr>
                <w:sz w:val="20"/>
                <w:szCs w:val="20"/>
              </w:rPr>
            </w:pPr>
            <w:r w:rsidRPr="00CC05A7">
              <w:rPr>
                <w:sz w:val="20"/>
                <w:szCs w:val="20"/>
              </w:rPr>
              <w:t>Antenna configuration UE</w:t>
            </w:r>
          </w:p>
        </w:tc>
        <w:tc>
          <w:tcPr>
            <w:tcW w:w="3740" w:type="dxa"/>
            <w:shd w:val="clear" w:color="auto" w:fill="auto"/>
          </w:tcPr>
          <w:p w14:paraId="63D9F6C3" w14:textId="13FB5F69" w:rsidR="002B0BC7" w:rsidRPr="00CC05A7" w:rsidRDefault="002B0BC7" w:rsidP="002B0BC7">
            <w:pPr>
              <w:keepNext/>
              <w:rPr>
                <w:sz w:val="20"/>
                <w:szCs w:val="20"/>
              </w:rPr>
            </w:pPr>
            <w:r>
              <w:rPr>
                <w:sz w:val="20"/>
                <w:szCs w:val="20"/>
                <w:lang w:val="en-US"/>
              </w:rPr>
              <w:t>4</w:t>
            </w:r>
            <w:r w:rsidRPr="00CC05A7">
              <w:rPr>
                <w:sz w:val="20"/>
                <w:szCs w:val="20"/>
              </w:rPr>
              <w:t xml:space="preserve">rx, 1tx </w:t>
            </w:r>
          </w:p>
        </w:tc>
      </w:tr>
      <w:tr w:rsidR="002B0BC7" w:rsidRPr="00CC05A7" w:rsidDel="007A6516" w14:paraId="614B1883" w14:textId="77777777" w:rsidTr="00F0550B">
        <w:trPr>
          <w:jc w:val="center"/>
        </w:trPr>
        <w:tc>
          <w:tcPr>
            <w:tcW w:w="2585" w:type="dxa"/>
            <w:shd w:val="clear" w:color="auto" w:fill="auto"/>
          </w:tcPr>
          <w:p w14:paraId="52F921EE" w14:textId="77176E93" w:rsidR="002B0BC7" w:rsidRPr="00CC05A7" w:rsidRDefault="002B0BC7" w:rsidP="002B0BC7">
            <w:pPr>
              <w:rPr>
                <w:sz w:val="20"/>
                <w:szCs w:val="20"/>
                <w:lang w:val="fr-FR"/>
              </w:rPr>
            </w:pPr>
            <w:r w:rsidRPr="00B51879">
              <w:rPr>
                <w:sz w:val="20"/>
                <w:szCs w:val="20"/>
                <w:lang w:val="en-GB"/>
              </w:rPr>
              <w:t>Propagation channel &amp; UE velocity</w:t>
            </w:r>
          </w:p>
        </w:tc>
        <w:tc>
          <w:tcPr>
            <w:tcW w:w="3740" w:type="dxa"/>
            <w:shd w:val="clear" w:color="auto" w:fill="auto"/>
          </w:tcPr>
          <w:p w14:paraId="3A978160" w14:textId="1A209DE9" w:rsidR="002B0BC7" w:rsidRPr="00CC05A7" w:rsidRDefault="002B0BC7" w:rsidP="002B0BC7">
            <w:pPr>
              <w:keepNext/>
              <w:rPr>
                <w:sz w:val="20"/>
                <w:szCs w:val="20"/>
              </w:rPr>
            </w:pPr>
            <w:r w:rsidRPr="00B51879">
              <w:rPr>
                <w:sz w:val="20"/>
                <w:szCs w:val="20"/>
                <w:lang w:val="en-GB"/>
              </w:rPr>
              <w:t>TDL-A 30ns and TDL-C 300ns in TR38.901, 3km/h,</w:t>
            </w:r>
          </w:p>
        </w:tc>
      </w:tr>
      <w:tr w:rsidR="002B0BC7" w:rsidRPr="00CC05A7" w:rsidDel="007A6516" w14:paraId="6DD88CB9" w14:textId="77777777" w:rsidTr="00F0550B">
        <w:trPr>
          <w:jc w:val="center"/>
        </w:trPr>
        <w:tc>
          <w:tcPr>
            <w:tcW w:w="2585" w:type="dxa"/>
            <w:shd w:val="clear" w:color="auto" w:fill="auto"/>
          </w:tcPr>
          <w:p w14:paraId="652B6391" w14:textId="4A3D0059" w:rsidR="002B0BC7" w:rsidRPr="00B51879" w:rsidRDefault="002B0BC7" w:rsidP="002B0BC7">
            <w:pPr>
              <w:rPr>
                <w:sz w:val="20"/>
                <w:szCs w:val="20"/>
                <w:lang w:val="en-US"/>
              </w:rPr>
            </w:pPr>
            <w:r>
              <w:rPr>
                <w:sz w:val="20"/>
                <w:szCs w:val="20"/>
                <w:lang w:val="en-US"/>
              </w:rPr>
              <w:t>Channel estimation</w:t>
            </w:r>
          </w:p>
        </w:tc>
        <w:tc>
          <w:tcPr>
            <w:tcW w:w="3740" w:type="dxa"/>
            <w:shd w:val="clear" w:color="auto" w:fill="auto"/>
          </w:tcPr>
          <w:p w14:paraId="172A866C" w14:textId="77777777" w:rsidR="002B0BC7" w:rsidRDefault="002B0BC7" w:rsidP="002B0BC7">
            <w:pPr>
              <w:keepNext/>
              <w:rPr>
                <w:sz w:val="20"/>
                <w:szCs w:val="20"/>
                <w:lang w:val="en-GB"/>
              </w:rPr>
            </w:pPr>
            <w:r w:rsidRPr="00B51879">
              <w:rPr>
                <w:sz w:val="20"/>
                <w:szCs w:val="20"/>
                <w:lang w:val="en-GB"/>
              </w:rPr>
              <w:t>Ideal channel estimation</w:t>
            </w:r>
            <w:r>
              <w:rPr>
                <w:sz w:val="20"/>
                <w:szCs w:val="20"/>
                <w:lang w:val="en-GB"/>
              </w:rPr>
              <w:t xml:space="preserve"> for calibration</w:t>
            </w:r>
          </w:p>
          <w:p w14:paraId="4C979268" w14:textId="011BC28B" w:rsidR="002B0BC7" w:rsidRPr="00CC05A7" w:rsidRDefault="002B0BC7" w:rsidP="002B0BC7">
            <w:pPr>
              <w:keepNext/>
              <w:rPr>
                <w:sz w:val="20"/>
                <w:szCs w:val="20"/>
              </w:rPr>
            </w:pPr>
            <w:r>
              <w:rPr>
                <w:sz w:val="20"/>
                <w:szCs w:val="20"/>
                <w:lang w:val="en-GB"/>
              </w:rPr>
              <w:t>Realistic channel estimation</w:t>
            </w:r>
          </w:p>
        </w:tc>
      </w:tr>
      <w:tr w:rsidR="005C2A15" w:rsidRPr="00CC05A7" w:rsidDel="007A6516" w14:paraId="1FBDF599" w14:textId="77777777" w:rsidTr="00FC7D65">
        <w:trPr>
          <w:jc w:val="center"/>
        </w:trPr>
        <w:tc>
          <w:tcPr>
            <w:tcW w:w="2585" w:type="dxa"/>
            <w:shd w:val="clear" w:color="auto" w:fill="auto"/>
            <w:vAlign w:val="center"/>
          </w:tcPr>
          <w:p w14:paraId="0DD1A625" w14:textId="5BCBA5F7" w:rsidR="005C2A15" w:rsidRPr="005C2A15" w:rsidRDefault="005C2A15" w:rsidP="005C2A15">
            <w:pPr>
              <w:rPr>
                <w:sz w:val="20"/>
                <w:szCs w:val="20"/>
                <w:lang w:val="en-US"/>
              </w:rPr>
            </w:pPr>
            <w:r w:rsidRPr="005C2A15">
              <w:rPr>
                <w:rFonts w:eastAsia="MS Mincho"/>
                <w:bCs/>
                <w:sz w:val="20"/>
                <w:szCs w:val="20"/>
                <w:lang w:eastAsia="ja-JP"/>
              </w:rPr>
              <w:t>Metric for calibration</w:t>
            </w:r>
          </w:p>
        </w:tc>
        <w:tc>
          <w:tcPr>
            <w:tcW w:w="3740" w:type="dxa"/>
            <w:shd w:val="clear" w:color="auto" w:fill="auto"/>
            <w:vAlign w:val="center"/>
          </w:tcPr>
          <w:p w14:paraId="3EDF8354" w14:textId="2EAAD876" w:rsidR="005C2A15" w:rsidRPr="005C2A15" w:rsidRDefault="005C2A15" w:rsidP="005C2A15">
            <w:pPr>
              <w:keepNext/>
              <w:rPr>
                <w:sz w:val="20"/>
                <w:szCs w:val="20"/>
                <w:lang w:val="en-GB"/>
              </w:rPr>
            </w:pPr>
            <w:r w:rsidRPr="005C2A15">
              <w:rPr>
                <w:rFonts w:eastAsia="MS Mincho"/>
                <w:bCs/>
                <w:sz w:val="20"/>
                <w:szCs w:val="20"/>
                <w:lang w:eastAsia="ja-JP"/>
              </w:rPr>
              <w:t>BLER vs. SNR</w:t>
            </w:r>
          </w:p>
        </w:tc>
      </w:tr>
    </w:tbl>
    <w:p w14:paraId="25DFE7AB" w14:textId="6EB83301" w:rsidR="00D85078" w:rsidRPr="008E7940" w:rsidRDefault="00D85078" w:rsidP="00D12367">
      <w:pPr>
        <w:overflowPunct w:val="0"/>
        <w:autoSpaceDE w:val="0"/>
        <w:autoSpaceDN w:val="0"/>
        <w:adjustRightInd w:val="0"/>
        <w:jc w:val="both"/>
        <w:textAlignment w:val="baseline"/>
        <w:rPr>
          <w:rFonts w:eastAsia="MS Mincho"/>
          <w:sz w:val="20"/>
          <w:szCs w:val="20"/>
          <w:lang w:val="en-US" w:eastAsia="ja-JP"/>
        </w:rPr>
      </w:pPr>
    </w:p>
    <w:p w14:paraId="7FFE088A" w14:textId="0C072695" w:rsidR="00A14799" w:rsidRPr="001662AA" w:rsidRDefault="00D12367" w:rsidP="00D12367">
      <w:pPr>
        <w:spacing w:after="120"/>
        <w:rPr>
          <w:b/>
          <w:bCs/>
          <w:color w:val="000000"/>
          <w:sz w:val="20"/>
          <w:szCs w:val="20"/>
          <w:lang w:val="en-US"/>
        </w:rPr>
      </w:pPr>
      <w:r w:rsidRPr="004914A4">
        <w:rPr>
          <w:b/>
          <w:bCs/>
          <w:color w:val="000000"/>
          <w:sz w:val="20"/>
          <w:szCs w:val="20"/>
          <w:lang w:val="en-GB"/>
        </w:rPr>
        <w:lastRenderedPageBreak/>
        <w:t xml:space="preserve">Proposal </w:t>
      </w:r>
      <w:r>
        <w:rPr>
          <w:b/>
          <w:bCs/>
          <w:color w:val="000000"/>
          <w:sz w:val="20"/>
          <w:szCs w:val="20"/>
          <w:lang w:val="en-GB"/>
        </w:rPr>
        <w:t>1</w:t>
      </w:r>
      <w:r w:rsidRPr="004914A4">
        <w:rPr>
          <w:b/>
          <w:bCs/>
          <w:color w:val="000000"/>
          <w:sz w:val="20"/>
          <w:szCs w:val="20"/>
          <w:lang w:val="en-GB"/>
        </w:rPr>
        <w:t xml:space="preserve">: </w:t>
      </w:r>
      <w:r w:rsidR="001662AA" w:rsidRPr="00C66594">
        <w:rPr>
          <w:b/>
          <w:bCs/>
          <w:sz w:val="20"/>
          <w:szCs w:val="20"/>
          <w:lang w:val="en-US"/>
        </w:rPr>
        <w:t>The</w:t>
      </w:r>
      <w:r w:rsidR="00EE389D">
        <w:rPr>
          <w:b/>
          <w:bCs/>
          <w:sz w:val="20"/>
          <w:szCs w:val="20"/>
          <w:lang w:val="en-US"/>
        </w:rPr>
        <w:t xml:space="preserve"> common</w:t>
      </w:r>
      <w:r w:rsidR="001662AA" w:rsidRPr="00C66594">
        <w:rPr>
          <w:b/>
          <w:bCs/>
          <w:sz w:val="20"/>
          <w:szCs w:val="20"/>
          <w:lang w:val="en-US"/>
        </w:rPr>
        <w:t xml:space="preserve"> LLS assumptions in Table</w:t>
      </w:r>
      <w:r w:rsidR="001662AA" w:rsidRPr="001662AA">
        <w:rPr>
          <w:b/>
          <w:bCs/>
          <w:sz w:val="20"/>
          <w:szCs w:val="20"/>
          <w:lang w:val="en-US"/>
        </w:rPr>
        <w:t xml:space="preserve"> 2 </w:t>
      </w:r>
      <w:r w:rsidR="00DC1CAF">
        <w:rPr>
          <w:b/>
          <w:bCs/>
          <w:sz w:val="20"/>
          <w:szCs w:val="20"/>
          <w:lang w:val="en-US"/>
        </w:rPr>
        <w:t>can</w:t>
      </w:r>
      <w:r w:rsidR="001662AA" w:rsidRPr="00C66594">
        <w:rPr>
          <w:b/>
          <w:bCs/>
          <w:sz w:val="20"/>
          <w:szCs w:val="20"/>
          <w:lang w:val="en-US"/>
        </w:rPr>
        <w:t xml:space="preserve"> be considered</w:t>
      </w:r>
      <w:r w:rsidR="00DC1CAF" w:rsidRPr="00DC1CAF">
        <w:rPr>
          <w:b/>
          <w:bCs/>
          <w:sz w:val="20"/>
          <w:szCs w:val="20"/>
          <w:lang w:val="en-US"/>
        </w:rPr>
        <w:t xml:space="preserve"> </w:t>
      </w:r>
      <w:r w:rsidR="00DC1CAF" w:rsidRPr="00C66594">
        <w:rPr>
          <w:b/>
          <w:bCs/>
          <w:sz w:val="20"/>
          <w:szCs w:val="20"/>
          <w:lang w:val="en-US"/>
        </w:rPr>
        <w:t>for performance evaluation</w:t>
      </w:r>
      <w:r w:rsidR="001662AA" w:rsidRPr="00C66594">
        <w:rPr>
          <w:b/>
          <w:bCs/>
          <w:sz w:val="20"/>
          <w:szCs w:val="20"/>
          <w:lang w:val="en-US"/>
        </w:rPr>
        <w:t>, including the carrier frequency, gNB and UE antenna configuration, waveform, numerology, propagation channel, etc</w:t>
      </w:r>
      <w:r w:rsidR="001662AA" w:rsidRPr="001662AA">
        <w:rPr>
          <w:b/>
          <w:bCs/>
          <w:sz w:val="20"/>
          <w:szCs w:val="20"/>
          <w:lang w:val="en-US"/>
        </w:rPr>
        <w:t>.</w:t>
      </w:r>
    </w:p>
    <w:p w14:paraId="1DE6452F" w14:textId="77777777" w:rsidR="00D12367" w:rsidRDefault="00D12367" w:rsidP="00D12367">
      <w:pPr>
        <w:pStyle w:val="Heading1"/>
      </w:pPr>
      <w:r>
        <w:t>Summary</w:t>
      </w:r>
    </w:p>
    <w:p w14:paraId="25F8D0AD" w14:textId="5983C6A7" w:rsidR="00D12367" w:rsidRPr="007A3F6E" w:rsidRDefault="00D12367" w:rsidP="007A3F6E">
      <w:pPr>
        <w:overflowPunct w:val="0"/>
        <w:autoSpaceDE w:val="0"/>
        <w:autoSpaceDN w:val="0"/>
        <w:adjustRightInd w:val="0"/>
        <w:spacing w:after="12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A3F6E">
        <w:rPr>
          <w:rFonts w:eastAsia="MS Mincho"/>
          <w:sz w:val="20"/>
          <w:szCs w:val="20"/>
          <w:lang w:val="en-US" w:eastAsia="ja-JP"/>
        </w:rPr>
        <w:t>coverage enhancement scenarios and simulation assumption</w:t>
      </w:r>
      <w:r w:rsidR="007A3F6E">
        <w:rPr>
          <w:rFonts w:eastAsia="MS Mincho"/>
          <w:sz w:val="20"/>
          <w:szCs w:val="20"/>
          <w:lang w:val="en-US"/>
        </w:rPr>
        <w:t>, and</w:t>
      </w:r>
      <w:r w:rsidRPr="00447804">
        <w:rPr>
          <w:rFonts w:eastAsia="MS Mincho"/>
          <w:sz w:val="20"/>
          <w:szCs w:val="20"/>
          <w:lang w:eastAsia="ja-JP"/>
        </w:rPr>
        <w:t xml:space="preserve"> have the following </w:t>
      </w:r>
      <w:r w:rsidR="007A3F6E">
        <w:rPr>
          <w:rFonts w:eastAsia="MS Mincho"/>
          <w:sz w:val="20"/>
          <w:szCs w:val="20"/>
          <w:lang w:val="en-US" w:eastAsia="ja-JP"/>
        </w:rPr>
        <w:t xml:space="preserve">observations and </w:t>
      </w:r>
      <w:r w:rsidRPr="00447804">
        <w:rPr>
          <w:rFonts w:eastAsia="MS Mincho"/>
          <w:sz w:val="20"/>
          <w:szCs w:val="20"/>
          <w:lang w:eastAsia="ja-JP"/>
        </w:rPr>
        <w:t>proposal:</w:t>
      </w:r>
    </w:p>
    <w:p w14:paraId="73A5BF2F" w14:textId="514A6ED0" w:rsidR="007A3F6E" w:rsidRPr="00C66594" w:rsidRDefault="007A3F6E" w:rsidP="007A3F6E">
      <w:pPr>
        <w:widowControl w:val="0"/>
        <w:jc w:val="both"/>
        <w:rPr>
          <w:b/>
          <w:bCs/>
          <w:sz w:val="20"/>
          <w:szCs w:val="20"/>
          <w:lang w:val="en-US"/>
        </w:rPr>
      </w:pPr>
      <w:r w:rsidRPr="00C66594">
        <w:rPr>
          <w:b/>
          <w:bCs/>
          <w:sz w:val="20"/>
          <w:szCs w:val="20"/>
          <w:lang w:val="en-US"/>
        </w:rPr>
        <w:t>Observation</w:t>
      </w:r>
      <w:r>
        <w:rPr>
          <w:b/>
          <w:bCs/>
          <w:sz w:val="20"/>
          <w:szCs w:val="20"/>
          <w:lang w:val="en-US"/>
        </w:rPr>
        <w:t xml:space="preserve"> 1</w:t>
      </w:r>
      <w:r w:rsidRPr="00C66594">
        <w:rPr>
          <w:b/>
          <w:bCs/>
          <w:sz w:val="20"/>
          <w:szCs w:val="20"/>
          <w:lang w:val="en-US"/>
        </w:rPr>
        <w:t xml:space="preserve">: </w:t>
      </w:r>
      <w:r w:rsidR="00D00969">
        <w:rPr>
          <w:b/>
          <w:bCs/>
          <w:sz w:val="20"/>
          <w:szCs w:val="20"/>
          <w:lang w:val="en-US"/>
        </w:rPr>
        <w:t>C</w:t>
      </w:r>
      <w:r w:rsidRPr="00C66594">
        <w:rPr>
          <w:b/>
          <w:bCs/>
          <w:sz w:val="20"/>
          <w:szCs w:val="20"/>
          <w:lang w:val="en-US"/>
        </w:rPr>
        <w:t xml:space="preserve">overage enhancement </w:t>
      </w:r>
      <w:r>
        <w:rPr>
          <w:b/>
          <w:bCs/>
          <w:sz w:val="20"/>
          <w:szCs w:val="20"/>
          <w:lang w:val="en-US"/>
        </w:rPr>
        <w:t xml:space="preserve">study </w:t>
      </w:r>
      <w:r w:rsidRPr="00C66594">
        <w:rPr>
          <w:b/>
          <w:bCs/>
          <w:sz w:val="20"/>
          <w:szCs w:val="20"/>
          <w:lang w:val="en-US"/>
        </w:rPr>
        <w:t>focus</w:t>
      </w:r>
      <w:r>
        <w:rPr>
          <w:b/>
          <w:bCs/>
          <w:sz w:val="20"/>
          <w:szCs w:val="20"/>
          <w:lang w:val="en-US"/>
        </w:rPr>
        <w:t>es</w:t>
      </w:r>
      <w:r w:rsidRPr="00C66594">
        <w:rPr>
          <w:b/>
          <w:bCs/>
          <w:sz w:val="20"/>
          <w:szCs w:val="20"/>
          <w:lang w:val="en-US"/>
        </w:rPr>
        <w:t xml:space="preserve"> on specific channel</w:t>
      </w:r>
      <w:r>
        <w:rPr>
          <w:b/>
          <w:bCs/>
          <w:sz w:val="20"/>
          <w:szCs w:val="20"/>
          <w:lang w:val="en-US"/>
        </w:rPr>
        <w:t xml:space="preserve">s </w:t>
      </w:r>
      <w:r w:rsidRPr="00C66594">
        <w:rPr>
          <w:b/>
          <w:bCs/>
          <w:sz w:val="20"/>
          <w:szCs w:val="20"/>
          <w:lang w:val="en-US"/>
        </w:rPr>
        <w:t>with the coverage bottleneck, coverage extension should avoid.</w:t>
      </w:r>
    </w:p>
    <w:p w14:paraId="38A4564D" w14:textId="77777777" w:rsidR="007A3F6E" w:rsidRPr="000C144F" w:rsidRDefault="007A3F6E" w:rsidP="007A3F6E">
      <w:pPr>
        <w:pStyle w:val="ListParagraph"/>
        <w:widowControl w:val="0"/>
        <w:numPr>
          <w:ilvl w:val="0"/>
          <w:numId w:val="34"/>
        </w:numPr>
        <w:ind w:left="567"/>
        <w:jc w:val="both"/>
        <w:rPr>
          <w:rFonts w:eastAsia="Times New Roman"/>
          <w:b/>
          <w:bCs/>
          <w:sz w:val="20"/>
          <w:szCs w:val="20"/>
          <w:lang w:val="en-US"/>
        </w:rPr>
      </w:pPr>
      <w:r w:rsidRPr="000C144F">
        <w:rPr>
          <w:b/>
          <w:bCs/>
          <w:sz w:val="20"/>
          <w:szCs w:val="20"/>
          <w:lang w:val="en-US"/>
        </w:rPr>
        <w:t>Identify the coverage bottleneck of PRACH, msg3, VoIP, PUSCH and PUCCH formats in the UL</w:t>
      </w:r>
    </w:p>
    <w:p w14:paraId="138F94ED" w14:textId="77777777" w:rsidR="007A3F6E" w:rsidRPr="00C66594" w:rsidRDefault="007A3F6E" w:rsidP="007A3F6E">
      <w:pPr>
        <w:pStyle w:val="ListParagraph"/>
        <w:widowControl w:val="0"/>
        <w:numPr>
          <w:ilvl w:val="0"/>
          <w:numId w:val="34"/>
        </w:numPr>
        <w:ind w:left="567"/>
        <w:jc w:val="both"/>
        <w:rPr>
          <w:rFonts w:eastAsia="Times New Roman"/>
          <w:b/>
          <w:bCs/>
          <w:sz w:val="20"/>
          <w:szCs w:val="20"/>
          <w:lang w:val="en-US"/>
        </w:rPr>
      </w:pPr>
      <w:r w:rsidRPr="00C66594">
        <w:rPr>
          <w:rFonts w:eastAsia="Times New Roman"/>
          <w:b/>
          <w:bCs/>
          <w:sz w:val="20"/>
          <w:szCs w:val="20"/>
          <w:lang w:val="en-US"/>
        </w:rPr>
        <w:t>Identify the coverage bottleneck of PBCH, PSS/SSS, VoIP, PDCCH formats, PDSCH in the DL</w:t>
      </w:r>
    </w:p>
    <w:p w14:paraId="2BD37FA2" w14:textId="77777777" w:rsidR="007A3F6E" w:rsidRPr="00A336E0" w:rsidRDefault="007A3F6E" w:rsidP="007A3F6E">
      <w:pPr>
        <w:spacing w:before="120" w:after="120"/>
        <w:rPr>
          <w:b/>
          <w:bCs/>
          <w:color w:val="000000"/>
          <w:sz w:val="20"/>
          <w:szCs w:val="20"/>
        </w:rPr>
      </w:pPr>
      <w:r>
        <w:rPr>
          <w:b/>
          <w:bCs/>
          <w:color w:val="000000"/>
          <w:sz w:val="20"/>
          <w:szCs w:val="20"/>
          <w:lang w:val="en-US"/>
        </w:rPr>
        <w:t>Observation 2: Existing defined coverage enhancement techniques should be the benchmark for further coverage enhancement</w:t>
      </w:r>
      <w:r>
        <w:rPr>
          <w:b/>
          <w:bCs/>
          <w:color w:val="000000"/>
          <w:sz w:val="20"/>
          <w:szCs w:val="20"/>
        </w:rPr>
        <w:t xml:space="preserve">. </w:t>
      </w:r>
    </w:p>
    <w:p w14:paraId="5D3CEBD0" w14:textId="77777777" w:rsidR="00DC1CAF" w:rsidRPr="001662AA" w:rsidRDefault="00DC1CAF" w:rsidP="00DC1CAF">
      <w:pPr>
        <w:spacing w:after="120"/>
        <w:rPr>
          <w:b/>
          <w:bCs/>
          <w:color w:val="000000"/>
          <w:sz w:val="20"/>
          <w:szCs w:val="20"/>
          <w:lang w:val="en-US"/>
        </w:rPr>
      </w:pPr>
      <w:r w:rsidRPr="004914A4">
        <w:rPr>
          <w:b/>
          <w:bCs/>
          <w:color w:val="000000"/>
          <w:sz w:val="20"/>
          <w:szCs w:val="20"/>
          <w:lang w:val="en-GB"/>
        </w:rPr>
        <w:t xml:space="preserve">Proposal </w:t>
      </w:r>
      <w:r>
        <w:rPr>
          <w:b/>
          <w:bCs/>
          <w:color w:val="000000"/>
          <w:sz w:val="20"/>
          <w:szCs w:val="20"/>
          <w:lang w:val="en-GB"/>
        </w:rPr>
        <w:t>1</w:t>
      </w:r>
      <w:r w:rsidRPr="004914A4">
        <w:rPr>
          <w:b/>
          <w:bCs/>
          <w:color w:val="000000"/>
          <w:sz w:val="20"/>
          <w:szCs w:val="20"/>
          <w:lang w:val="en-GB"/>
        </w:rPr>
        <w:t xml:space="preserve">: </w:t>
      </w:r>
      <w:r w:rsidRPr="00C66594">
        <w:rPr>
          <w:b/>
          <w:bCs/>
          <w:sz w:val="20"/>
          <w:szCs w:val="20"/>
          <w:lang w:val="en-US"/>
        </w:rPr>
        <w:t>The</w:t>
      </w:r>
      <w:r>
        <w:rPr>
          <w:b/>
          <w:bCs/>
          <w:sz w:val="20"/>
          <w:szCs w:val="20"/>
          <w:lang w:val="en-US"/>
        </w:rPr>
        <w:t xml:space="preserve"> common</w:t>
      </w:r>
      <w:r w:rsidRPr="00C66594">
        <w:rPr>
          <w:b/>
          <w:bCs/>
          <w:sz w:val="20"/>
          <w:szCs w:val="20"/>
          <w:lang w:val="en-US"/>
        </w:rPr>
        <w:t xml:space="preserve"> LLS assumptions in Table</w:t>
      </w:r>
      <w:r w:rsidRPr="001662AA">
        <w:rPr>
          <w:b/>
          <w:bCs/>
          <w:sz w:val="20"/>
          <w:szCs w:val="20"/>
          <w:lang w:val="en-US"/>
        </w:rPr>
        <w:t xml:space="preserve"> 2 </w:t>
      </w:r>
      <w:r>
        <w:rPr>
          <w:b/>
          <w:bCs/>
          <w:sz w:val="20"/>
          <w:szCs w:val="20"/>
          <w:lang w:val="en-US"/>
        </w:rPr>
        <w:t>can</w:t>
      </w:r>
      <w:r w:rsidRPr="00C66594">
        <w:rPr>
          <w:b/>
          <w:bCs/>
          <w:sz w:val="20"/>
          <w:szCs w:val="20"/>
          <w:lang w:val="en-US"/>
        </w:rPr>
        <w:t xml:space="preserve"> be considered</w:t>
      </w:r>
      <w:r w:rsidRPr="00DC1CAF">
        <w:rPr>
          <w:b/>
          <w:bCs/>
          <w:sz w:val="20"/>
          <w:szCs w:val="20"/>
          <w:lang w:val="en-US"/>
        </w:rPr>
        <w:t xml:space="preserve"> </w:t>
      </w:r>
      <w:r w:rsidRPr="00C66594">
        <w:rPr>
          <w:b/>
          <w:bCs/>
          <w:sz w:val="20"/>
          <w:szCs w:val="20"/>
          <w:lang w:val="en-US"/>
        </w:rPr>
        <w:t>for performance evaluation, including the carrier frequency, gNB and UE antenna configuration, waveform, numerology, propagation channel, etc</w:t>
      </w:r>
      <w:r w:rsidRPr="001662AA">
        <w:rPr>
          <w:b/>
          <w:bCs/>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1BA1E0F5" w:rsidR="00120E8E" w:rsidRPr="00DC51FC" w:rsidRDefault="00120E8E" w:rsidP="00120E8E">
      <w:pPr>
        <w:widowControl w:val="0"/>
        <w:numPr>
          <w:ilvl w:val="0"/>
          <w:numId w:val="5"/>
        </w:numPr>
        <w:jc w:val="both"/>
        <w:rPr>
          <w:sz w:val="20"/>
          <w:szCs w:val="20"/>
        </w:rPr>
      </w:pPr>
      <w:r w:rsidRPr="00CB21E1">
        <w:rPr>
          <w:sz w:val="20"/>
          <w:szCs w:val="20"/>
        </w:rPr>
        <w:t>R</w:t>
      </w:r>
      <w:r w:rsidR="008618C9">
        <w:rPr>
          <w:sz w:val="20"/>
          <w:szCs w:val="20"/>
          <w:lang w:val="en-US"/>
        </w:rPr>
        <w:t>P</w:t>
      </w:r>
      <w:r w:rsidRPr="00CB21E1">
        <w:rPr>
          <w:sz w:val="20"/>
          <w:szCs w:val="20"/>
        </w:rPr>
        <w:t>-</w:t>
      </w:r>
      <w:r w:rsidR="008618C9">
        <w:rPr>
          <w:sz w:val="20"/>
          <w:szCs w:val="20"/>
          <w:lang w:val="en-US"/>
        </w:rPr>
        <w:t>193240</w:t>
      </w:r>
      <w:r w:rsidRPr="007049A6">
        <w:rPr>
          <w:sz w:val="20"/>
          <w:szCs w:val="20"/>
        </w:rPr>
        <w:t>, “</w:t>
      </w:r>
      <w:r w:rsidR="008618C9">
        <w:rPr>
          <w:sz w:val="20"/>
          <w:szCs w:val="20"/>
          <w:lang w:val="en-US"/>
        </w:rPr>
        <w:t>New SID on NR coverage enhancement</w:t>
      </w:r>
      <w:r w:rsidRPr="007049A6">
        <w:rPr>
          <w:sz w:val="20"/>
          <w:szCs w:val="20"/>
        </w:rPr>
        <w:t xml:space="preserve">”, </w:t>
      </w:r>
      <w:r w:rsidR="008618C9">
        <w:rPr>
          <w:sz w:val="20"/>
          <w:szCs w:val="20"/>
          <w:lang w:val="en-US"/>
        </w:rPr>
        <w:t>China Telecom</w:t>
      </w:r>
    </w:p>
    <w:bookmarkEnd w:id="2"/>
    <w:bookmarkEnd w:id="3"/>
    <w:p w14:paraId="6DFBC0A9" w14:textId="6E1B01E9" w:rsidR="00C66594" w:rsidRDefault="00C66594" w:rsidP="00C66594">
      <w:pPr>
        <w:widowControl w:val="0"/>
        <w:jc w:val="both"/>
        <w:rPr>
          <w:sz w:val="20"/>
          <w:szCs w:val="20"/>
          <w:highlight w:val="yellow"/>
        </w:rPr>
      </w:pPr>
    </w:p>
    <w:sectPr w:rsidR="00C66594"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F70CE" w14:textId="77777777" w:rsidR="002D372F" w:rsidRDefault="002D372F">
      <w:r>
        <w:separator/>
      </w:r>
    </w:p>
  </w:endnote>
  <w:endnote w:type="continuationSeparator" w:id="0">
    <w:p w14:paraId="6B3573E5" w14:textId="77777777" w:rsidR="002D372F" w:rsidRDefault="002D372F">
      <w:r>
        <w:continuationSeparator/>
      </w:r>
    </w:p>
  </w:endnote>
  <w:endnote w:type="continuationNotice" w:id="1">
    <w:p w14:paraId="6E6D8C40" w14:textId="77777777" w:rsidR="002D372F" w:rsidRDefault="002D3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64736" w14:textId="77777777" w:rsidR="002D372F" w:rsidRDefault="002D372F">
      <w:r>
        <w:separator/>
      </w:r>
    </w:p>
  </w:footnote>
  <w:footnote w:type="continuationSeparator" w:id="0">
    <w:p w14:paraId="6402B085" w14:textId="77777777" w:rsidR="002D372F" w:rsidRDefault="002D372F">
      <w:r>
        <w:continuationSeparator/>
      </w:r>
    </w:p>
  </w:footnote>
  <w:footnote w:type="continuationNotice" w:id="1">
    <w:p w14:paraId="291041AA" w14:textId="77777777" w:rsidR="002D372F" w:rsidRDefault="002D3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BB5137"/>
    <w:multiLevelType w:val="multilevel"/>
    <w:tmpl w:val="07BAE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94F1A"/>
    <w:multiLevelType w:val="multilevel"/>
    <w:tmpl w:val="BC663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74E1C8D"/>
    <w:multiLevelType w:val="hybridMultilevel"/>
    <w:tmpl w:val="08167C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4644"/>
    <w:multiLevelType w:val="multilevel"/>
    <w:tmpl w:val="B296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A92B93"/>
    <w:multiLevelType w:val="multilevel"/>
    <w:tmpl w:val="CAC0D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768B2"/>
    <w:multiLevelType w:val="hybridMultilevel"/>
    <w:tmpl w:val="881E83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72E5F02"/>
    <w:multiLevelType w:val="hybridMultilevel"/>
    <w:tmpl w:val="C3D200DA"/>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20"/>
  </w:num>
  <w:num w:numId="2">
    <w:abstractNumId w:val="19"/>
  </w:num>
  <w:num w:numId="3">
    <w:abstractNumId w:val="21"/>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29"/>
  </w:num>
  <w:num w:numId="8">
    <w:abstractNumId w:val="10"/>
  </w:num>
  <w:num w:numId="9">
    <w:abstractNumId w:val="27"/>
  </w:num>
  <w:num w:numId="10">
    <w:abstractNumId w:val="3"/>
  </w:num>
  <w:num w:numId="11">
    <w:abstractNumId w:val="4"/>
  </w:num>
  <w:num w:numId="12">
    <w:abstractNumId w:val="0"/>
  </w:num>
  <w:num w:numId="13">
    <w:abstractNumId w:val="28"/>
  </w:num>
  <w:num w:numId="14">
    <w:abstractNumId w:val="23"/>
  </w:num>
  <w:num w:numId="15">
    <w:abstractNumId w:val="14"/>
  </w:num>
  <w:num w:numId="16">
    <w:abstractNumId w:val="24"/>
  </w:num>
  <w:num w:numId="17">
    <w:abstractNumId w:val="9"/>
  </w:num>
  <w:num w:numId="18">
    <w:abstractNumId w:val="25"/>
  </w:num>
  <w:num w:numId="19">
    <w:abstractNumId w:val="22"/>
  </w:num>
  <w:num w:numId="20">
    <w:abstractNumId w:val="16"/>
  </w:num>
  <w:num w:numId="21">
    <w:abstractNumId w:val="13"/>
  </w:num>
  <w:num w:numId="22">
    <w:abstractNumId w:val="1"/>
  </w:num>
  <w:num w:numId="23">
    <w:abstractNumId w:val="11"/>
  </w:num>
  <w:num w:numId="24">
    <w:abstractNumId w:val="30"/>
  </w:num>
  <w:num w:numId="25">
    <w:abstractNumId w:val="31"/>
  </w:num>
  <w:num w:numId="26">
    <w:abstractNumId w:val="33"/>
  </w:num>
  <w:num w:numId="27">
    <w:abstractNumId w:val="8"/>
  </w:num>
  <w:num w:numId="28">
    <w:abstractNumId w:val="5"/>
  </w:num>
  <w:num w:numId="29">
    <w:abstractNumId w:val="7"/>
  </w:num>
  <w:num w:numId="30">
    <w:abstractNumId w:val="35"/>
  </w:num>
  <w:num w:numId="31">
    <w:abstractNumId w:val="32"/>
  </w:num>
  <w:num w:numId="32">
    <w:abstractNumId w:val="18"/>
  </w:num>
  <w:num w:numId="33">
    <w:abstractNumId w:val="6"/>
  </w:num>
  <w:num w:numId="34">
    <w:abstractNumId w:val="36"/>
  </w:num>
  <w:num w:numId="35">
    <w:abstractNumId w:val="34"/>
  </w:num>
  <w:num w:numId="36">
    <w:abstractNumId w:val="26"/>
  </w:num>
  <w:num w:numId="37">
    <w:abstractNumId w:val="17"/>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21F"/>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3F34"/>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72F"/>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8A2"/>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2B"/>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6E"/>
    <w:rsid w:val="007A3FC5"/>
    <w:rsid w:val="007A4264"/>
    <w:rsid w:val="007A43F5"/>
    <w:rsid w:val="007A44BE"/>
    <w:rsid w:val="007A49C9"/>
    <w:rsid w:val="007A4A23"/>
    <w:rsid w:val="007A4AF1"/>
    <w:rsid w:val="007A4BE6"/>
    <w:rsid w:val="007A4E56"/>
    <w:rsid w:val="007A5288"/>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07E"/>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969"/>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CAF"/>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873"/>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D86470B-2494-F74D-8131-A3547E108C00}">
  <ds:schemaRefs>
    <ds:schemaRef ds:uri="http://schemas.openxmlformats.org/officeDocument/2006/bibliography"/>
  </ds:schemaRefs>
</ds:datastoreItem>
</file>

<file path=customXml/itemProps4.xml><?xml version="1.0" encoding="utf-8"?>
<ds:datastoreItem xmlns:ds="http://schemas.openxmlformats.org/officeDocument/2006/customXml" ds:itemID="{908DC1AC-9944-2F42-923F-BD4C3C6E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3526</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340</cp:revision>
  <cp:lastPrinted>2019-08-16T17:50:00Z</cp:lastPrinted>
  <dcterms:created xsi:type="dcterms:W3CDTF">2018-09-02T16:33:00Z</dcterms:created>
  <dcterms:modified xsi:type="dcterms:W3CDTF">2020-05-15T11:58:00Z</dcterms:modified>
  <cp:category/>
</cp:coreProperties>
</file>